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906" w:rsidRPr="00F07995" w:rsidRDefault="001109A6" w:rsidP="006B4F0F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bookmarkStart w:id="0" w:name="_GoBack"/>
      <w:bookmarkEnd w:id="0"/>
      <w:r w:rsidRPr="00F07995">
        <w:rPr>
          <w:rFonts w:ascii="Times New Roman" w:hAnsi="Times New Roman"/>
          <w:b/>
          <w:sz w:val="32"/>
          <w:szCs w:val="32"/>
          <w:lang w:val="uk-UA"/>
        </w:rPr>
        <w:t xml:space="preserve">ПОРІВНЯЛЬНА ТАБЛИЦЯ </w:t>
      </w:r>
    </w:p>
    <w:p w:rsidR="00BB5459" w:rsidRPr="00F07995" w:rsidRDefault="001F4906" w:rsidP="006B4F0F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F07995">
        <w:rPr>
          <w:rFonts w:ascii="Times New Roman" w:hAnsi="Times New Roman"/>
          <w:b/>
          <w:sz w:val="32"/>
          <w:szCs w:val="32"/>
          <w:lang w:val="uk-UA"/>
        </w:rPr>
        <w:t>до проекту Закону України «Про внесення змін</w:t>
      </w:r>
      <w:r w:rsidR="00DE7353" w:rsidRPr="00F07995">
        <w:rPr>
          <w:rFonts w:ascii="Times New Roman" w:hAnsi="Times New Roman"/>
          <w:b/>
          <w:sz w:val="32"/>
          <w:szCs w:val="32"/>
          <w:lang w:val="uk-UA"/>
        </w:rPr>
        <w:t>и до Бюджетного кодексу України</w:t>
      </w:r>
      <w:r w:rsidRPr="00F07995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</w:p>
    <w:p w:rsidR="005C328E" w:rsidRPr="00F07995" w:rsidRDefault="00AB0663" w:rsidP="006B4F0F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F07995">
        <w:rPr>
          <w:rFonts w:ascii="Times New Roman" w:hAnsi="Times New Roman"/>
          <w:b/>
          <w:sz w:val="32"/>
          <w:szCs w:val="32"/>
          <w:lang w:val="uk-UA"/>
        </w:rPr>
        <w:t xml:space="preserve">щодо </w:t>
      </w:r>
      <w:r w:rsidR="00F204BE" w:rsidRPr="00F07995">
        <w:rPr>
          <w:rFonts w:ascii="Times New Roman" w:hAnsi="Times New Roman"/>
          <w:b/>
          <w:sz w:val="32"/>
          <w:szCs w:val="32"/>
          <w:lang w:val="uk-UA"/>
        </w:rPr>
        <w:t xml:space="preserve">посилення </w:t>
      </w:r>
      <w:r w:rsidR="004B500B" w:rsidRPr="00F07995">
        <w:rPr>
          <w:rFonts w:ascii="Times New Roman" w:hAnsi="Times New Roman"/>
          <w:b/>
          <w:sz w:val="32"/>
          <w:szCs w:val="32"/>
          <w:lang w:val="uk-UA"/>
        </w:rPr>
        <w:t>ролі</w:t>
      </w:r>
      <w:r w:rsidR="00F204BE" w:rsidRPr="00F07995">
        <w:rPr>
          <w:rFonts w:ascii="Times New Roman" w:hAnsi="Times New Roman"/>
          <w:b/>
          <w:sz w:val="32"/>
          <w:szCs w:val="32"/>
          <w:lang w:val="uk-UA"/>
        </w:rPr>
        <w:t xml:space="preserve"> громад </w:t>
      </w:r>
      <w:r w:rsidR="004B500B" w:rsidRPr="00F07995">
        <w:rPr>
          <w:rFonts w:ascii="Times New Roman" w:hAnsi="Times New Roman"/>
          <w:b/>
          <w:sz w:val="32"/>
          <w:szCs w:val="32"/>
          <w:lang w:val="uk-UA"/>
        </w:rPr>
        <w:t xml:space="preserve">у </w:t>
      </w:r>
      <w:r w:rsidR="00B30B0B" w:rsidRPr="00F07995">
        <w:rPr>
          <w:rFonts w:ascii="Times New Roman" w:hAnsi="Times New Roman"/>
          <w:b/>
          <w:sz w:val="32"/>
          <w:szCs w:val="32"/>
          <w:lang w:val="uk-UA"/>
        </w:rPr>
        <w:t xml:space="preserve">соціально-економічному </w:t>
      </w:r>
      <w:r w:rsidR="004B500B" w:rsidRPr="00F07995">
        <w:rPr>
          <w:rFonts w:ascii="Times New Roman" w:hAnsi="Times New Roman"/>
          <w:b/>
          <w:sz w:val="32"/>
          <w:szCs w:val="32"/>
          <w:lang w:val="uk-UA"/>
        </w:rPr>
        <w:t>розвитку</w:t>
      </w:r>
      <w:r w:rsidR="00F204BE" w:rsidRPr="00F07995">
        <w:rPr>
          <w:rFonts w:ascii="Times New Roman" w:hAnsi="Times New Roman"/>
          <w:b/>
          <w:sz w:val="32"/>
          <w:szCs w:val="32"/>
          <w:lang w:val="uk-UA"/>
        </w:rPr>
        <w:t xml:space="preserve"> терито</w:t>
      </w:r>
      <w:r w:rsidR="006C4A3D" w:rsidRPr="00F07995">
        <w:rPr>
          <w:rFonts w:ascii="Times New Roman" w:hAnsi="Times New Roman"/>
          <w:b/>
          <w:sz w:val="32"/>
          <w:szCs w:val="32"/>
          <w:lang w:val="uk-UA"/>
        </w:rPr>
        <w:t>рій</w:t>
      </w:r>
      <w:r w:rsidR="00966A76" w:rsidRPr="00F07995">
        <w:rPr>
          <w:rFonts w:ascii="Times New Roman" w:hAnsi="Times New Roman"/>
          <w:b/>
          <w:sz w:val="32"/>
          <w:szCs w:val="32"/>
          <w:lang w:val="uk-UA"/>
        </w:rPr>
        <w:t>»</w:t>
      </w:r>
    </w:p>
    <w:p w:rsidR="001946CA" w:rsidRPr="00F07995" w:rsidRDefault="001946CA" w:rsidP="006B4F0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7281"/>
        <w:gridCol w:w="7280"/>
      </w:tblGrid>
      <w:tr w:rsidR="004710DB" w:rsidRPr="00597470" w:rsidTr="003A12B6">
        <w:trPr>
          <w:jc w:val="center"/>
        </w:trPr>
        <w:tc>
          <w:tcPr>
            <w:tcW w:w="7281" w:type="dxa"/>
          </w:tcPr>
          <w:p w:rsidR="006B4F0F" w:rsidRPr="00F07995" w:rsidRDefault="006B4F0F" w:rsidP="006B4F0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280" w:type="dxa"/>
          </w:tcPr>
          <w:p w:rsidR="006B4F0F" w:rsidRPr="00F07995" w:rsidRDefault="006B4F0F" w:rsidP="006B4F0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4710DB" w:rsidRPr="00597470" w:rsidTr="003A12B6">
        <w:trPr>
          <w:jc w:val="center"/>
        </w:trPr>
        <w:tc>
          <w:tcPr>
            <w:tcW w:w="14561" w:type="dxa"/>
            <w:gridSpan w:val="2"/>
          </w:tcPr>
          <w:p w:rsidR="00265CA6" w:rsidRPr="00F07995" w:rsidRDefault="006460B8" w:rsidP="006B4F0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БЮДЖЕТНИЙ КОДЕКС УКРАЇНИ </w:t>
            </w:r>
          </w:p>
          <w:p w:rsidR="006B4F0F" w:rsidRPr="00F07995" w:rsidRDefault="006B4F0F" w:rsidP="00265C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(Відомості Верховної Ради України, 2010 р., №</w:t>
            </w:r>
            <w:r w:rsidR="00265CA6"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50-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51, ст. 572)</w:t>
            </w:r>
          </w:p>
        </w:tc>
      </w:tr>
      <w:tr w:rsidR="004710DB" w:rsidRPr="00597470" w:rsidTr="003A12B6">
        <w:trPr>
          <w:jc w:val="center"/>
        </w:trPr>
        <w:tc>
          <w:tcPr>
            <w:tcW w:w="14561" w:type="dxa"/>
            <w:gridSpan w:val="2"/>
          </w:tcPr>
          <w:p w:rsidR="004E585A" w:rsidRPr="00F07995" w:rsidRDefault="004E585A" w:rsidP="001109A6">
            <w:pPr>
              <w:jc w:val="center"/>
              <w:rPr>
                <w:rStyle w:val="rvts15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F07995">
              <w:rPr>
                <w:rStyle w:val="rvts15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Р</w:t>
            </w:r>
            <w:r w:rsidRPr="00F07995">
              <w:rPr>
                <w:rStyle w:val="rvts15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озділ II. </w:t>
            </w:r>
            <w:r w:rsidRPr="00F07995">
              <w:rPr>
                <w:rStyle w:val="rvts15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br/>
              <w:t>ДЕРЖАВНИЙ БЮДЖЕТ УКРАЇНИ</w:t>
            </w:r>
          </w:p>
          <w:p w:rsidR="004E585A" w:rsidRPr="00F07995" w:rsidRDefault="001A6766" w:rsidP="001109A6">
            <w:pPr>
              <w:jc w:val="center"/>
              <w:rPr>
                <w:rStyle w:val="rvts9"/>
                <w:rFonts w:ascii="Times New Roman" w:hAnsi="Times New Roman"/>
                <w:sz w:val="28"/>
                <w:szCs w:val="28"/>
                <w:lang w:val="uk-UA"/>
              </w:rPr>
            </w:pPr>
            <w:bookmarkStart w:id="1" w:name="n570"/>
            <w:bookmarkEnd w:id="1"/>
            <w:r w:rsidRPr="00F07995">
              <w:rPr>
                <w:rStyle w:val="rvts15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Глава 4. БЮДЖЕТНИЙ ПРОЦЕС ТА ЙОГО УЧАСНИКИ</w:t>
            </w:r>
          </w:p>
        </w:tc>
      </w:tr>
      <w:tr w:rsidR="004710DB" w:rsidRPr="00597470" w:rsidTr="003A12B6">
        <w:trPr>
          <w:trHeight w:val="736"/>
          <w:jc w:val="center"/>
        </w:trPr>
        <w:tc>
          <w:tcPr>
            <w:tcW w:w="7281" w:type="dxa"/>
            <w:vAlign w:val="center"/>
          </w:tcPr>
          <w:p w:rsidR="00F204BE" w:rsidRPr="00F07995" w:rsidRDefault="00C82A5B" w:rsidP="00863BA4">
            <w:pPr>
              <w:pStyle w:val="rvps2"/>
              <w:shd w:val="clear" w:color="auto" w:fill="FFFFFF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F0799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24</w:t>
            </w:r>
            <w:r w:rsidR="00863BA4" w:rsidRPr="00F07995">
              <w:rPr>
                <w:rStyle w:val="rvts9"/>
                <w:b/>
                <w:bCs/>
                <w:sz w:val="28"/>
                <w:szCs w:val="28"/>
                <w:lang w:val="uk-UA"/>
              </w:rPr>
              <w:t>-1</w:t>
            </w:r>
            <w:r w:rsidRPr="00F07995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Pr="00F07995">
              <w:rPr>
                <w:sz w:val="28"/>
                <w:szCs w:val="28"/>
                <w:lang w:val="uk-UA"/>
              </w:rPr>
              <w:t> Державний фонд регіонального розвитку</w:t>
            </w:r>
          </w:p>
        </w:tc>
        <w:tc>
          <w:tcPr>
            <w:tcW w:w="7280" w:type="dxa"/>
            <w:vAlign w:val="center"/>
          </w:tcPr>
          <w:p w:rsidR="00F204BE" w:rsidRPr="00F07995" w:rsidRDefault="00C82A5B" w:rsidP="001946CA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Стаття 24</w:t>
            </w:r>
            <w:r w:rsidR="00863BA4"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-1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.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 Державний фонд регіонального розвитку</w:t>
            </w:r>
          </w:p>
        </w:tc>
      </w:tr>
      <w:tr w:rsidR="00796BD7" w:rsidRPr="00597470" w:rsidTr="003A12B6">
        <w:trPr>
          <w:trHeight w:val="736"/>
          <w:jc w:val="center"/>
        </w:trPr>
        <w:tc>
          <w:tcPr>
            <w:tcW w:w="7281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>1. Державний фонд регіонального розвитку створюється у складі державного бюджету.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bookmarkStart w:id="2" w:name="n2927"/>
            <w:bookmarkStart w:id="3" w:name="n509"/>
            <w:bookmarkEnd w:id="2"/>
            <w:bookmarkEnd w:id="3"/>
            <w:r w:rsidRPr="00F07995">
              <w:rPr>
                <w:rStyle w:val="rvts11"/>
                <w:i/>
                <w:iCs/>
                <w:lang w:val="uk-UA"/>
              </w:rPr>
              <w:t>{Дію абзацу другого частини першої статті </w:t>
            </w:r>
            <w:r w:rsidRPr="00F07995">
              <w:rPr>
                <w:rStyle w:val="rvts46"/>
                <w:i/>
                <w:iCs/>
                <w:lang w:val="uk-UA"/>
              </w:rPr>
              <w:t>24</w:t>
            </w:r>
            <w:r w:rsidRPr="00F07995">
              <w:rPr>
                <w:rStyle w:val="rvts37"/>
                <w:b/>
                <w:bCs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i/>
                <w:iCs/>
                <w:lang w:val="uk-UA"/>
              </w:rPr>
              <w:t> зупинено на 2021 рік згідно із Законом </w:t>
            </w:r>
            <w:hyperlink r:id="rId11" w:anchor="n134" w:tgtFrame="_blank" w:history="1">
              <w:r w:rsidRPr="00F07995">
                <w:rPr>
                  <w:rStyle w:val="ac"/>
                  <w:i/>
                  <w:iCs/>
                  <w:color w:val="auto"/>
                  <w:lang w:val="uk-UA"/>
                </w:rPr>
                <w:t>№ 1082-IX від 15.12.2020</w:t>
              </w:r>
            </w:hyperlink>
            <w:r w:rsidRPr="00F07995">
              <w:rPr>
                <w:rStyle w:val="rvts11"/>
                <w:i/>
                <w:iCs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b/>
                <w:bCs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i/>
                <w:iCs/>
                <w:lang w:val="uk-UA"/>
              </w:rPr>
              <w:t> зупинено на 2020 рік згідно із Законом </w:t>
            </w:r>
            <w:hyperlink r:id="rId12" w:anchor="n112" w:tgtFrame="_blank" w:history="1">
              <w:r w:rsidRPr="00F07995">
                <w:rPr>
                  <w:rStyle w:val="ac"/>
                  <w:i/>
                  <w:iCs/>
                  <w:color w:val="auto"/>
                  <w:lang w:val="uk-UA"/>
                </w:rPr>
                <w:t>№ 294-IX від 14.11.2019</w:t>
              </w:r>
            </w:hyperlink>
            <w:r w:rsidRPr="00F07995">
              <w:rPr>
                <w:rStyle w:val="rvts11"/>
                <w:i/>
                <w:iCs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b/>
                <w:bCs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i/>
                <w:iCs/>
                <w:lang w:val="uk-UA"/>
              </w:rPr>
              <w:t> зупинено на 2019 рік згідно із Законом </w:t>
            </w:r>
            <w:hyperlink r:id="rId13" w:anchor="n124" w:tgtFrame="_blank" w:history="1">
              <w:r w:rsidRPr="00F07995">
                <w:rPr>
                  <w:rStyle w:val="ac"/>
                  <w:i/>
                  <w:iCs/>
                  <w:color w:val="auto"/>
                  <w:lang w:val="uk-UA"/>
                </w:rPr>
                <w:t>№ 2629-VIII від 23.11.2018</w:t>
              </w:r>
            </w:hyperlink>
            <w:r w:rsidRPr="00F07995">
              <w:rPr>
                <w:rStyle w:val="rvts11"/>
                <w:i/>
                <w:iCs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b/>
                <w:bCs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i/>
                <w:iCs/>
                <w:lang w:val="uk-UA"/>
              </w:rPr>
              <w:t> зупинено на 2018 рік згідно із Законом </w:t>
            </w:r>
            <w:hyperlink r:id="rId14" w:anchor="n136" w:tgtFrame="_blank" w:history="1">
              <w:r w:rsidRPr="00F07995">
                <w:rPr>
                  <w:rStyle w:val="ac"/>
                  <w:i/>
                  <w:iCs/>
                  <w:color w:val="auto"/>
                  <w:lang w:val="uk-UA"/>
                </w:rPr>
                <w:t>№ 2246-VIII від 07.12.2017</w:t>
              </w:r>
            </w:hyperlink>
            <w:r w:rsidRPr="00F07995">
              <w:rPr>
                <w:rStyle w:val="rvts11"/>
                <w:i/>
                <w:iCs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b/>
                <w:bCs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i/>
                <w:iCs/>
                <w:lang w:val="uk-UA"/>
              </w:rPr>
              <w:t> зупинено на 2017 рік згідно із Законом </w:t>
            </w:r>
            <w:hyperlink r:id="rId15" w:anchor="n129" w:tgtFrame="_blank" w:history="1">
              <w:r w:rsidRPr="00F07995">
                <w:rPr>
                  <w:rStyle w:val="ac"/>
                  <w:i/>
                  <w:iCs/>
                  <w:color w:val="auto"/>
                  <w:lang w:val="uk-UA"/>
                </w:rPr>
                <w:t>№ 1801-VIII від 21.12.2016</w:t>
              </w:r>
            </w:hyperlink>
            <w:r w:rsidRPr="00F07995">
              <w:rPr>
                <w:rStyle w:val="rvts11"/>
                <w:i/>
                <w:iCs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b/>
                <w:bCs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i/>
                <w:iCs/>
                <w:lang w:val="uk-UA"/>
              </w:rPr>
              <w:t> зупинено на 2016 рік згідно із Законом </w:t>
            </w:r>
            <w:hyperlink r:id="rId16" w:anchor="n121" w:tgtFrame="_blank" w:history="1">
              <w:r w:rsidRPr="00F07995">
                <w:rPr>
                  <w:rStyle w:val="ac"/>
                  <w:i/>
                  <w:iCs/>
                  <w:color w:val="auto"/>
                  <w:lang w:val="uk-UA"/>
                </w:rPr>
                <w:t>№ 928-VIII від 25.12.2015</w:t>
              </w:r>
            </w:hyperlink>
            <w:r w:rsidRPr="00F07995">
              <w:rPr>
                <w:rStyle w:val="rvts11"/>
                <w:i/>
                <w:iCs/>
                <w:lang w:val="uk-UA"/>
              </w:rPr>
              <w:t>}</w:t>
            </w:r>
            <w:r w:rsidRPr="00F07995">
              <w:rPr>
                <w:lang w:val="uk-UA"/>
              </w:rPr>
              <w:t> </w:t>
            </w:r>
            <w:r w:rsidRPr="00F07995">
              <w:rPr>
                <w:sz w:val="28"/>
                <w:szCs w:val="28"/>
                <w:lang w:val="uk-UA"/>
              </w:rPr>
              <w:t>При складанні Бюджетної декларації та проекту Державного бюджету України державний фонд регіонального розвитку визначається в обсязі не менше 1 відсотка прогнозного обсягу доходів загального фонду проекту Державного бюджету України на відповідний бюджетний період.</w:t>
            </w:r>
          </w:p>
        </w:tc>
        <w:tc>
          <w:tcPr>
            <w:tcW w:w="7280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>1. Державний фонд регіонального розвитку створюється у складі державного бюджету.</w:t>
            </w:r>
          </w:p>
          <w:p w:rsidR="00796BD7" w:rsidRPr="00F07995" w:rsidRDefault="00796BD7" w:rsidP="00796BD7">
            <w:pPr>
              <w:ind w:firstLine="284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{Дію абзацу другого частини першої статті </w:t>
            </w:r>
            <w:r w:rsidRPr="00F07995">
              <w:rPr>
                <w:rStyle w:val="rvts46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24</w:t>
            </w:r>
            <w:r w:rsidRPr="00F07995">
              <w:rPr>
                <w:rStyle w:val="rvts37"/>
                <w:rFonts w:ascii="Times New Roman" w:hAnsi="Times New Roman"/>
                <w:b/>
                <w:bCs/>
                <w:sz w:val="24"/>
                <w:szCs w:val="24"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 зупинено на 2021 рік згідно із Законом </w:t>
            </w:r>
            <w:hyperlink r:id="rId17" w:anchor="n134" w:tgtFrame="_blank" w:history="1">
              <w:r w:rsidRPr="00F07995">
                <w:rPr>
                  <w:rStyle w:val="ac"/>
                  <w:rFonts w:ascii="Times New Roman" w:hAnsi="Times New Roman"/>
                  <w:i/>
                  <w:iCs/>
                  <w:color w:val="auto"/>
                  <w:sz w:val="24"/>
                  <w:szCs w:val="24"/>
                  <w:lang w:val="uk-UA"/>
                </w:rPr>
                <w:t>№ 1082-IX від 15.12.2020</w:t>
              </w:r>
            </w:hyperlink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rFonts w:ascii="Times New Roman" w:hAnsi="Times New Roman"/>
                <w:b/>
                <w:bCs/>
                <w:sz w:val="24"/>
                <w:szCs w:val="24"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 зупинено на 2020 рік згідно із Законом </w:t>
            </w:r>
            <w:hyperlink r:id="rId18" w:anchor="n112" w:tgtFrame="_blank" w:history="1">
              <w:r w:rsidRPr="00F07995">
                <w:rPr>
                  <w:rStyle w:val="ac"/>
                  <w:rFonts w:ascii="Times New Roman" w:hAnsi="Times New Roman"/>
                  <w:i/>
                  <w:iCs/>
                  <w:color w:val="auto"/>
                  <w:sz w:val="24"/>
                  <w:szCs w:val="24"/>
                  <w:lang w:val="uk-UA"/>
                </w:rPr>
                <w:t>№ 294-IX від 14.11.2019</w:t>
              </w:r>
            </w:hyperlink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rFonts w:ascii="Times New Roman" w:hAnsi="Times New Roman"/>
                <w:b/>
                <w:bCs/>
                <w:sz w:val="24"/>
                <w:szCs w:val="24"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 зупинено на 2019 рік згідно із Законом </w:t>
            </w:r>
            <w:hyperlink r:id="rId19" w:anchor="n124" w:tgtFrame="_blank" w:history="1">
              <w:r w:rsidRPr="00F07995">
                <w:rPr>
                  <w:rStyle w:val="ac"/>
                  <w:rFonts w:ascii="Times New Roman" w:hAnsi="Times New Roman"/>
                  <w:i/>
                  <w:iCs/>
                  <w:color w:val="auto"/>
                  <w:sz w:val="24"/>
                  <w:szCs w:val="24"/>
                  <w:lang w:val="uk-UA"/>
                </w:rPr>
                <w:t>№ 2629-VIII від 23.11.2018</w:t>
              </w:r>
            </w:hyperlink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rFonts w:ascii="Times New Roman" w:hAnsi="Times New Roman"/>
                <w:b/>
                <w:bCs/>
                <w:sz w:val="24"/>
                <w:szCs w:val="24"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 зупинено на 2018 рік згідно із Законом </w:t>
            </w:r>
            <w:hyperlink r:id="rId20" w:anchor="n136" w:tgtFrame="_blank" w:history="1">
              <w:r w:rsidRPr="00F07995">
                <w:rPr>
                  <w:rStyle w:val="ac"/>
                  <w:rFonts w:ascii="Times New Roman" w:hAnsi="Times New Roman"/>
                  <w:i/>
                  <w:iCs/>
                  <w:color w:val="auto"/>
                  <w:sz w:val="24"/>
                  <w:szCs w:val="24"/>
                  <w:lang w:val="uk-UA"/>
                </w:rPr>
                <w:t>№ 2246-VIII від 07.12.2017</w:t>
              </w:r>
            </w:hyperlink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rFonts w:ascii="Times New Roman" w:hAnsi="Times New Roman"/>
                <w:b/>
                <w:bCs/>
                <w:sz w:val="24"/>
                <w:szCs w:val="24"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 зупинено на 2017 рік згідно із Законом </w:t>
            </w:r>
            <w:hyperlink r:id="rId21" w:anchor="n129" w:tgtFrame="_blank" w:history="1">
              <w:r w:rsidRPr="00F07995">
                <w:rPr>
                  <w:rStyle w:val="ac"/>
                  <w:rFonts w:ascii="Times New Roman" w:hAnsi="Times New Roman"/>
                  <w:i/>
                  <w:iCs/>
                  <w:color w:val="auto"/>
                  <w:sz w:val="24"/>
                  <w:szCs w:val="24"/>
                  <w:lang w:val="uk-UA"/>
                </w:rPr>
                <w:t>№ 1801-VIII від 21.12.2016</w:t>
              </w:r>
            </w:hyperlink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} {Дію абзацу другого частини першої статті 24</w:t>
            </w:r>
            <w:r w:rsidRPr="00F07995">
              <w:rPr>
                <w:rStyle w:val="rvts37"/>
                <w:rFonts w:ascii="Times New Roman" w:hAnsi="Times New Roman"/>
                <w:b/>
                <w:bCs/>
                <w:sz w:val="24"/>
                <w:szCs w:val="24"/>
                <w:vertAlign w:val="superscript"/>
                <w:lang w:val="uk-UA"/>
              </w:rPr>
              <w:t>-1</w:t>
            </w:r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 зупинено на 2016 рік згідно із Законом </w:t>
            </w:r>
            <w:hyperlink r:id="rId22" w:anchor="n121" w:tgtFrame="_blank" w:history="1">
              <w:r w:rsidRPr="00F07995">
                <w:rPr>
                  <w:rStyle w:val="ac"/>
                  <w:rFonts w:ascii="Times New Roman" w:hAnsi="Times New Roman"/>
                  <w:i/>
                  <w:iCs/>
                  <w:color w:val="auto"/>
                  <w:sz w:val="24"/>
                  <w:szCs w:val="24"/>
                  <w:lang w:val="uk-UA"/>
                </w:rPr>
                <w:t>№ 928-VIII від 25.12.2015</w:t>
              </w:r>
            </w:hyperlink>
            <w:r w:rsidRPr="00F07995">
              <w:rPr>
                <w:rStyle w:val="rvts11"/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}</w:t>
            </w:r>
            <w:r w:rsidRPr="00F07995">
              <w:rPr>
                <w:rFonts w:ascii="Times New Roman" w:hAnsi="Times New Roman"/>
                <w:sz w:val="24"/>
                <w:szCs w:val="24"/>
                <w:lang w:val="uk-UA"/>
              </w:rPr>
              <w:t> 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При складанні Бюджетної декларації та проекту Державного бюджету України державний фонд регіонального розвитку визначається в обсязі не менше 1 відсотка прогнозного обсягу доходів загального фонду проекту Державного бюджету України на відповідний бюджетний період.</w:t>
            </w:r>
          </w:p>
        </w:tc>
      </w:tr>
      <w:tr w:rsidR="00796BD7" w:rsidRPr="00597470" w:rsidTr="003A12B6">
        <w:trPr>
          <w:trHeight w:val="736"/>
          <w:jc w:val="center"/>
        </w:trPr>
        <w:tc>
          <w:tcPr>
            <w:tcW w:w="7281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lastRenderedPageBreak/>
              <w:t>2. Кошти державного фонду регіонального розвитку спрямовуються на виконання інвестиційних програм і проектів регіонального розвитку, що мають на меті розвиток регіонів і відповідають пріоритетам, визначеним у </w:t>
            </w:r>
            <w:hyperlink r:id="rId23" w:anchor="n11" w:tgtFrame="_blank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Державній стратегії регіонального розвитку</w:t>
              </w:r>
            </w:hyperlink>
            <w:r w:rsidRPr="00F07995">
              <w:rPr>
                <w:sz w:val="28"/>
                <w:szCs w:val="28"/>
                <w:lang w:val="uk-UA"/>
              </w:rPr>
              <w:t> та відповідних регіональних стратегіях розвитку.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4" w:name="n2930"/>
            <w:bookmarkEnd w:id="4"/>
            <w:r w:rsidRPr="00F07995">
              <w:rPr>
                <w:sz w:val="28"/>
                <w:szCs w:val="28"/>
                <w:lang w:val="uk-UA"/>
              </w:rPr>
              <w:t>На реалізацію інвестиційних програм і проектів регіонального розвитку, що мають на меті розвиток регіонів у частині розвитку спортивної інфраструктури, передбачається не менше 10 відсотків коштів державного фонду регіонального розвитку.</w:t>
            </w:r>
          </w:p>
        </w:tc>
        <w:tc>
          <w:tcPr>
            <w:tcW w:w="7280" w:type="dxa"/>
          </w:tcPr>
          <w:p w:rsidR="00796BD7" w:rsidRPr="00F07995" w:rsidRDefault="00796BD7" w:rsidP="00796BD7">
            <w:pPr>
              <w:ind w:firstLine="284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2. Кошти державного фонду регіонального розвитку, що формуються відповідно до абзацу другого частини першої цієї статті, спрямовуються з дотриманням таких критеріїв розподілу: </w:t>
            </w:r>
          </w:p>
          <w:p w:rsidR="00D578A7" w:rsidRPr="00F07995" w:rsidRDefault="00D578A7" w:rsidP="00796BD7">
            <w:pPr>
              <w:ind w:firstLine="284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6</w:t>
            </w:r>
            <w:r w:rsidR="00796BD7"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0 відсотків – на 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реалізацію </w:t>
            </w:r>
            <w:r w:rsidR="00796BD7"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інвестиційних програм і проектів регіонального розвитку (у тому числі проектів співробітництва територіальних громад), що мають на меті розвиток регіонів, створення інфраструктури індустр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іальних та інноваційних парків </w:t>
            </w:r>
            <w:r w:rsidR="00796BD7"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і відповідають пріоритетам, визначеним у Державній стратегії регіонального розвитку та відповідни</w:t>
            </w:r>
            <w:r w:rsidR="00863BA4"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х стратегіях розвитку регіонів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; </w:t>
            </w:r>
          </w:p>
          <w:p w:rsidR="00796BD7" w:rsidRPr="00F07995" w:rsidRDefault="00D578A7" w:rsidP="00D578A7">
            <w:pPr>
              <w:ind w:firstLine="284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10 відсотків – на реалізацію інвестиційних програм і проектів регіонального розвитку, що мають </w:t>
            </w:r>
            <w:r w:rsidRPr="00F07995">
              <w:rPr>
                <w:rStyle w:val="rvts9"/>
                <w:rFonts w:ascii="Times New Roman" w:hAnsi="Times New Roman" w:hint="eastAsia"/>
                <w:b/>
                <w:bCs/>
                <w:sz w:val="28"/>
                <w:szCs w:val="28"/>
                <w:lang w:val="uk-UA"/>
              </w:rPr>
              <w:t>на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Style w:val="rvts9"/>
                <w:rFonts w:ascii="Times New Roman" w:hAnsi="Times New Roman" w:hint="eastAsia"/>
                <w:b/>
                <w:bCs/>
                <w:sz w:val="28"/>
                <w:szCs w:val="28"/>
                <w:lang w:val="uk-UA"/>
              </w:rPr>
              <w:t>меті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Style w:val="rvts9"/>
                <w:rFonts w:ascii="Times New Roman" w:hAnsi="Times New Roman" w:hint="eastAsia"/>
                <w:b/>
                <w:bCs/>
                <w:sz w:val="28"/>
                <w:szCs w:val="28"/>
                <w:lang w:val="uk-UA"/>
              </w:rPr>
              <w:t>розвиток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Style w:val="rvts9"/>
                <w:rFonts w:ascii="Times New Roman" w:hAnsi="Times New Roman" w:hint="eastAsia"/>
                <w:b/>
                <w:bCs/>
                <w:sz w:val="28"/>
                <w:szCs w:val="28"/>
                <w:lang w:val="uk-UA"/>
              </w:rPr>
              <w:t>регіонів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Style w:val="rvts9"/>
                <w:rFonts w:ascii="Times New Roman" w:hAnsi="Times New Roman" w:hint="eastAsia"/>
                <w:b/>
                <w:bCs/>
                <w:sz w:val="28"/>
                <w:szCs w:val="28"/>
                <w:lang w:val="uk-UA"/>
              </w:rPr>
              <w:t>у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Style w:val="rvts9"/>
                <w:rFonts w:ascii="Times New Roman" w:hAnsi="Times New Roman" w:hint="eastAsia"/>
                <w:b/>
                <w:bCs/>
                <w:sz w:val="28"/>
                <w:szCs w:val="28"/>
                <w:lang w:val="uk-UA"/>
              </w:rPr>
              <w:t>частині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Style w:val="rvts9"/>
                <w:rFonts w:ascii="Times New Roman" w:hAnsi="Times New Roman" w:hint="eastAsia"/>
                <w:b/>
                <w:bCs/>
                <w:sz w:val="28"/>
                <w:szCs w:val="28"/>
                <w:lang w:val="uk-UA"/>
              </w:rPr>
              <w:t>розвитку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Style w:val="rvts9"/>
                <w:rFonts w:ascii="Times New Roman" w:hAnsi="Times New Roman" w:hint="eastAsia"/>
                <w:b/>
                <w:bCs/>
                <w:sz w:val="28"/>
                <w:szCs w:val="28"/>
                <w:lang w:val="uk-UA"/>
              </w:rPr>
              <w:t>спортивної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Style w:val="rvts9"/>
                <w:rFonts w:ascii="Times New Roman" w:hAnsi="Times New Roman" w:hint="eastAsia"/>
                <w:b/>
                <w:bCs/>
                <w:sz w:val="28"/>
                <w:szCs w:val="28"/>
                <w:lang w:val="uk-UA"/>
              </w:rPr>
              <w:t>інфраструктури</w:t>
            </w:r>
            <w:r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і відповідають пріоритетам, визначеним у Державній стратегії регіонального розвитку та відповідних стратегіях розвитку регіонів</w:t>
            </w:r>
            <w:r w:rsidR="00796BD7" w:rsidRPr="00F07995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; 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F07995">
              <w:rPr>
                <w:rStyle w:val="rvts9"/>
                <w:b/>
                <w:sz w:val="28"/>
                <w:szCs w:val="28"/>
                <w:lang w:val="uk-UA"/>
              </w:rPr>
              <w:t xml:space="preserve">30 відсотків – на реалізацію програм і проектів регіонального розвитку сільських, селищних, міських рад </w:t>
            </w:r>
            <w:r w:rsidRPr="00F07995">
              <w:rPr>
                <w:b/>
                <w:sz w:val="28"/>
                <w:szCs w:val="28"/>
                <w:lang w:val="uk-UA"/>
              </w:rPr>
              <w:t>(у вигляді субвенції з державного бюджету місцевим бюджетам)</w:t>
            </w:r>
            <w:r w:rsidRPr="00F07995">
              <w:rPr>
                <w:rStyle w:val="rvts9"/>
                <w:b/>
                <w:sz w:val="28"/>
                <w:szCs w:val="28"/>
                <w:lang w:val="uk-UA"/>
              </w:rPr>
              <w:t xml:space="preserve"> відповідно до програм соціально-економічного розвитку відповідних адміністративно-територіальних одиниць, що розподіляються між бюджетами 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місцевого самоврядування </w:t>
            </w:r>
            <w:r w:rsidRPr="00F07995">
              <w:rPr>
                <w:rStyle w:val="rvts9"/>
                <w:b/>
                <w:sz w:val="28"/>
                <w:szCs w:val="28"/>
                <w:lang w:val="uk-UA"/>
              </w:rPr>
              <w:t xml:space="preserve">пропорційно до площі територіальної громади та кількості сільського населення у такій територіальній громаді з рівною вагою обох цих факторів. </w:t>
            </w:r>
          </w:p>
        </w:tc>
      </w:tr>
      <w:tr w:rsidR="00796BD7" w:rsidRPr="00F07995" w:rsidTr="003A12B6">
        <w:trPr>
          <w:trHeight w:val="736"/>
          <w:jc w:val="center"/>
        </w:trPr>
        <w:tc>
          <w:tcPr>
            <w:tcW w:w="7281" w:type="dxa"/>
          </w:tcPr>
          <w:p w:rsidR="00796BD7" w:rsidRPr="00F07995" w:rsidRDefault="00796BD7" w:rsidP="00C04C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 xml:space="preserve">3. Рада міністрів Автономної Республіки Крим, обласні, Київська та Севастопольські міські державні адміністрації </w:t>
            </w:r>
            <w:r w:rsidRPr="00F07995">
              <w:rPr>
                <w:sz w:val="28"/>
                <w:szCs w:val="28"/>
                <w:lang w:val="uk-UA"/>
              </w:rPr>
              <w:lastRenderedPageBreak/>
              <w:t xml:space="preserve">до 1 серпня року, що передує плановому, подають центральному органу виконавчої влади, що забезпечує формування державної регіональної політики, пропозиції з переліком і описом інвестиційних програм і проектів регіонального розвитку, що сформовані відповідно до частини другої цієї статті, пройшли попередній конкурсний відбір регіональними комісіями відповідно до законодавства (у тому числі програм і проектів щодо розвитку спортивної інфраструктури, погоджених з центральним органом виконавчої влади, що забезпечує формування державної політики у сфері фізичної культури і спорту) та можуть реалізовуватися за рахунок коштів державного фонду регіонального розвитку у наступному бюджетному періоді. </w:t>
            </w:r>
            <w:bookmarkStart w:id="5" w:name="n2057"/>
            <w:bookmarkStart w:id="6" w:name="n2933"/>
            <w:bookmarkStart w:id="7" w:name="n2058"/>
            <w:bookmarkEnd w:id="5"/>
            <w:bookmarkEnd w:id="6"/>
            <w:bookmarkEnd w:id="7"/>
          </w:p>
        </w:tc>
        <w:tc>
          <w:tcPr>
            <w:tcW w:w="7280" w:type="dxa"/>
          </w:tcPr>
          <w:p w:rsidR="00C04C9C" w:rsidRPr="00F07995" w:rsidRDefault="00796BD7" w:rsidP="00C04C9C">
            <w:pPr>
              <w:ind w:firstLine="284"/>
              <w:rPr>
                <w:rStyle w:val="rvts9"/>
                <w:rFonts w:ascii="Times New Roman" w:hAnsi="Times New Roman"/>
                <w:sz w:val="28"/>
                <w:szCs w:val="28"/>
                <w:lang w:val="uk-UA"/>
              </w:rPr>
            </w:pP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3. Рада міністрів Автономної Республіки Крим, обласні, Київська та Севастопольські міські державні адміністрації 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до 1 травня року, що передує плановому, подають центральному органу виконавчої влади, що забезпечує формування державної регіональної політики, пропозиції з переліком і описом інвестиційних програм і проектів регіонального розвитку, </w:t>
            </w:r>
            <w:r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що сформовані відповідно до абзацу другого </w:t>
            </w:r>
            <w:r w:rsidR="00FB3096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та третього </w:t>
            </w:r>
            <w:r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частини другої цієї статті,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пройшли </w:t>
            </w:r>
            <w:r w:rsidR="001A13CF" w:rsidRPr="00F07995">
              <w:rPr>
                <w:rFonts w:ascii="Times New Roman" w:hAnsi="Times New Roman"/>
                <w:sz w:val="28"/>
                <w:szCs w:val="28"/>
                <w:lang w:val="uk-UA"/>
              </w:rPr>
              <w:t>попередній конкурсний відбір регіональними комісіями відповідно до законодавства (у тому числі програм і проектів щодо розвитку спортивної інфраструктури, погоджених з центральним органом виконавчої влади, що забезпечує формування державної політики у сфері фізичної культури і спорту) та можуть реалізовуватися за рахунок коштів державного фонду регіонального розвитку у наступному бюджетному періоді.</w:t>
            </w:r>
            <w:r w:rsidR="00C04C9C"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C04C9C" w:rsidRPr="00F07995" w:rsidTr="003A12B6">
        <w:trPr>
          <w:trHeight w:val="736"/>
          <w:jc w:val="center"/>
        </w:trPr>
        <w:tc>
          <w:tcPr>
            <w:tcW w:w="7281" w:type="dxa"/>
          </w:tcPr>
          <w:p w:rsidR="00C04C9C" w:rsidRPr="00F07995" w:rsidRDefault="00C04C9C" w:rsidP="00C04C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lastRenderedPageBreak/>
              <w:t xml:space="preserve">Центральний орган виконавчої влади, що забезпечує формування державної регіональної політики, утворює комісію для оцінки та відбору програм і проектів, до складу якої входять члени Комітету Верховної Ради України з питань бюджету за рішенням цього комітету (чисельністю не менше 50 відсотків складу такої комісії). Така комісія на підставі поданих пропозицій (крім пропозицій щодо програм і проектів, погоджених з центральним органом виконавчої влади, що забезпечує формування державної політики у сфері фізичної культури і спорту) здійснює оцінку та відбір зазначених програм і проектів на конкурсних засадах у межах обсягу коштів державного фонду регіонального розвитку, визначеного Бюджетною декларацією, з дотриманням таких критеріїв розподілу між Автономною Республікою Крим, областями та містами </w:t>
            </w:r>
            <w:r w:rsidRPr="00F07995">
              <w:rPr>
                <w:sz w:val="28"/>
                <w:szCs w:val="28"/>
                <w:lang w:val="uk-UA"/>
              </w:rPr>
              <w:lastRenderedPageBreak/>
              <w:t xml:space="preserve">Києвом і Севастополем: </w:t>
            </w:r>
          </w:p>
          <w:p w:rsidR="00C04C9C" w:rsidRPr="00F07995" w:rsidRDefault="00C04C9C" w:rsidP="00C04C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>80 відсотків коштів - відповідно до чисельності населення, яке проживає у відповідному регіоні;</w:t>
            </w:r>
          </w:p>
          <w:p w:rsidR="00C04C9C" w:rsidRPr="00F07995" w:rsidRDefault="00C04C9C" w:rsidP="00C04C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</w:rPr>
            </w:pPr>
            <w:bookmarkStart w:id="8" w:name="n2056"/>
            <w:bookmarkEnd w:id="8"/>
            <w:r w:rsidRPr="00F07995">
              <w:rPr>
                <w:sz w:val="28"/>
                <w:szCs w:val="28"/>
                <w:lang w:val="uk-UA"/>
              </w:rPr>
              <w:t>20 відсотків коштів - з урахуванням рівня соціально-економічного розвитку регіонів відповідно до показника валового регіонального продукту в розрахунку на одну особу (для регіонів, у яких цей показник менше 75 відсотків середнього показника по Україні).</w:t>
            </w:r>
            <w:r w:rsidRPr="00F07995">
              <w:rPr>
                <w:sz w:val="28"/>
                <w:szCs w:val="28"/>
              </w:rPr>
              <w:t xml:space="preserve"> </w:t>
            </w:r>
          </w:p>
        </w:tc>
        <w:tc>
          <w:tcPr>
            <w:tcW w:w="7280" w:type="dxa"/>
          </w:tcPr>
          <w:p w:rsidR="00C04C9C" w:rsidRPr="00F07995" w:rsidRDefault="00C04C9C" w:rsidP="00C04C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lastRenderedPageBreak/>
              <w:t xml:space="preserve">Центральний орган виконавчої влади, що забезпечує формування державної регіональної політики, утворює комісію для оцінки та відбору програм і проектів, до складу якої входять члени Комітету Верховної Ради України з питань бюджету за рішенням цього комітету (чисельністю не </w:t>
            </w:r>
            <w:r w:rsidR="00C31117" w:rsidRPr="00F07995">
              <w:rPr>
                <w:sz w:val="28"/>
                <w:szCs w:val="28"/>
                <w:lang w:val="uk-UA"/>
              </w:rPr>
              <w:t>менше</w:t>
            </w:r>
            <w:r w:rsidRPr="00F07995">
              <w:rPr>
                <w:sz w:val="28"/>
                <w:szCs w:val="28"/>
                <w:lang w:val="uk-UA"/>
              </w:rPr>
              <w:t xml:space="preserve"> 50 відсотків складу такої комісії) </w:t>
            </w:r>
            <w:r w:rsidRPr="00F07995">
              <w:rPr>
                <w:b/>
                <w:sz w:val="28"/>
                <w:szCs w:val="28"/>
                <w:lang w:val="uk-UA"/>
              </w:rPr>
              <w:t>та члени Комітету Верховної Ради України з питань організації державної влади, місцевого самоврядування, регіонального розвитку та містобудування</w:t>
            </w:r>
            <w:r w:rsidRPr="00F07995">
              <w:rPr>
                <w:sz w:val="28"/>
                <w:szCs w:val="28"/>
                <w:lang w:val="uk-UA"/>
              </w:rPr>
              <w:t xml:space="preserve">. Така комісія на підставі поданих пропозицій (крім пропозицій щодо програм і проектів, погоджених з центральним органом виконавчої влади, що забезпечує формування державної політики у сфері фізичної культури і спорту) здійснює оцінку та відбір програм і проектів, </w:t>
            </w:r>
            <w:r w:rsidR="00AC0FB3" w:rsidRPr="00F07995">
              <w:rPr>
                <w:b/>
                <w:sz w:val="28"/>
                <w:szCs w:val="28"/>
                <w:lang w:val="uk-UA"/>
              </w:rPr>
              <w:t>передбачених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="001878B8" w:rsidRPr="00F07995">
              <w:rPr>
                <w:b/>
                <w:sz w:val="28"/>
                <w:szCs w:val="28"/>
                <w:lang w:val="uk-UA"/>
              </w:rPr>
              <w:t>абзацами</w:t>
            </w:r>
            <w:r w:rsidR="00DD598F" w:rsidRPr="00F07995">
              <w:rPr>
                <w:b/>
                <w:sz w:val="28"/>
                <w:szCs w:val="28"/>
                <w:lang w:val="uk-UA"/>
              </w:rPr>
              <w:t xml:space="preserve"> другим</w:t>
            </w:r>
            <w:r w:rsidR="002B4883" w:rsidRPr="00F07995">
              <w:rPr>
                <w:b/>
                <w:sz w:val="28"/>
                <w:szCs w:val="28"/>
                <w:lang w:val="uk-UA"/>
              </w:rPr>
              <w:t xml:space="preserve"> та третім</w:t>
            </w:r>
            <w:r w:rsidR="00DD598F" w:rsidRPr="00F07995">
              <w:rPr>
                <w:b/>
                <w:sz w:val="28"/>
                <w:szCs w:val="28"/>
                <w:lang w:val="uk-UA"/>
              </w:rPr>
              <w:t xml:space="preserve"> частини другої цієї статті</w:t>
            </w:r>
            <w:r w:rsidRPr="00F07995">
              <w:rPr>
                <w:b/>
                <w:sz w:val="28"/>
                <w:szCs w:val="28"/>
                <w:lang w:val="uk-UA"/>
              </w:rPr>
              <w:t>,</w:t>
            </w:r>
            <w:r w:rsidRPr="00F07995">
              <w:rPr>
                <w:sz w:val="28"/>
                <w:szCs w:val="28"/>
                <w:lang w:val="uk-UA"/>
              </w:rPr>
              <w:t xml:space="preserve"> на конкурсних засадах у межах обсягу коштів державного </w:t>
            </w:r>
            <w:r w:rsidRPr="00F07995">
              <w:rPr>
                <w:sz w:val="28"/>
                <w:szCs w:val="28"/>
                <w:lang w:val="uk-UA"/>
              </w:rPr>
              <w:lastRenderedPageBreak/>
              <w:t xml:space="preserve">фонду регіонального розвитку, визначеного Бюджетною декларацією, з дотриманням таких критеріїв розподілу між Автономною Республікою Крим, областями та містами Києвом і Севастополем: </w:t>
            </w:r>
          </w:p>
          <w:p w:rsidR="00C04C9C" w:rsidRPr="00F07995" w:rsidRDefault="00C04C9C" w:rsidP="00C04C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>80 відсотків коштів - відповідно до чисельності населення, яке проживає у відповідному регіоні;</w:t>
            </w:r>
          </w:p>
          <w:p w:rsidR="00C04C9C" w:rsidRPr="00F07995" w:rsidRDefault="00C04C9C" w:rsidP="00C04C9C">
            <w:pPr>
              <w:ind w:firstLine="28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20 відсотків коштів - з урахуванням рівня соціально-економічного розвитку регіонів відповідно до показника валового регіонального продукту в розрахунку на одну особу (для регіонів, у яких цей показник менше 75 відсотків середнього показника по Україні).</w:t>
            </w:r>
          </w:p>
        </w:tc>
      </w:tr>
      <w:tr w:rsidR="00C04C9C" w:rsidRPr="00F07995" w:rsidTr="003A12B6">
        <w:trPr>
          <w:trHeight w:val="736"/>
          <w:jc w:val="center"/>
        </w:trPr>
        <w:tc>
          <w:tcPr>
            <w:tcW w:w="7281" w:type="dxa"/>
          </w:tcPr>
          <w:p w:rsidR="00C04C9C" w:rsidRPr="00F07995" w:rsidRDefault="00C04C9C" w:rsidP="00C04C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lastRenderedPageBreak/>
              <w:t>За результатами здійснення оцінки та відповідності поданих інвестиційних програм і проектів регіонального розвитку вимогам законодавства центральний орган виконавчої влади, що забезпечує формування державної регіональної політики, на підставі рішення відповідної комісії та з урахуванням програм і проектів, погоджених з центральним органом виконавчої влади, що забезпечує формування державної політики у сфері фізичної культури і спорту, до 15 грудня, що передує плановому, подає Кабінету Міністрів України для затвердження пропозиції щодо розподілу коштів державного фонду регіонального розвитку з переліком відповідних програм і проектів.</w:t>
            </w:r>
          </w:p>
        </w:tc>
        <w:tc>
          <w:tcPr>
            <w:tcW w:w="7280" w:type="dxa"/>
          </w:tcPr>
          <w:p w:rsidR="00C04C9C" w:rsidRPr="00F07995" w:rsidRDefault="00C04C9C" w:rsidP="00796BD7">
            <w:pPr>
              <w:ind w:firstLine="28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За результатами здійснення оцінки та відповідності поданих інвестиційних програм і проектів регіонального розвитку вимогам законодавства центральний орган виконавчої влади, що забезпечує формування державної регіональної політики, на підставі рішення відповідної комісії та з урахуванням програм і проектів, погоджених з центральним органом виконавчої влади, що забезпечує формування державної політики у сфері фізичної культури і спорту, до 15 грудня, що передує плановому, подає Кабінету Міністрів України для затвердження пропозиції щодо розподілу коштів державного фонду регіонального розвитку з переліком відповідних програм і проектів.</w:t>
            </w:r>
          </w:p>
        </w:tc>
      </w:tr>
      <w:tr w:rsidR="00C04C9C" w:rsidRPr="00F07995" w:rsidTr="003A12B6">
        <w:trPr>
          <w:trHeight w:val="736"/>
          <w:jc w:val="center"/>
        </w:trPr>
        <w:tc>
          <w:tcPr>
            <w:tcW w:w="7281" w:type="dxa"/>
          </w:tcPr>
          <w:p w:rsidR="00C04C9C" w:rsidRPr="00F07995" w:rsidRDefault="00C04C9C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 xml:space="preserve">Програми і проекти, що реалізуються за рахунок коштів державного фонду регіонального розвитку, підлягають співфінансуванню з місцевих бюджетів в обсязі не менше 10 відсотків. </w:t>
            </w:r>
          </w:p>
        </w:tc>
        <w:tc>
          <w:tcPr>
            <w:tcW w:w="7280" w:type="dxa"/>
          </w:tcPr>
          <w:p w:rsidR="00C04C9C" w:rsidRPr="00F07995" w:rsidRDefault="00C04C9C" w:rsidP="00FB3096">
            <w:pPr>
              <w:ind w:firstLine="28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Програми і проекти, що реалізуються за рахунок коштів державного фонду регіонального розвитку,</w:t>
            </w:r>
            <w:r w:rsidR="00E661C7"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78B8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передбачені абзацами</w:t>
            </w:r>
            <w:r w:rsidR="00E661C7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другим</w:t>
            </w:r>
            <w:r w:rsidR="00FB3096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та третім</w:t>
            </w:r>
            <w:r w:rsidR="00E661C7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частини другої цієї статті,</w:t>
            </w:r>
            <w:r w:rsidR="00E661C7"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підлягають співфінансуванню з місцевих бюджетів в обсязі </w:t>
            </w:r>
            <w:r w:rsidR="00E661C7" w:rsidRPr="00F07995">
              <w:rPr>
                <w:rFonts w:ascii="Times New Roman" w:hAnsi="Times New Roman"/>
                <w:sz w:val="28"/>
                <w:szCs w:val="28"/>
                <w:lang w:val="uk-UA"/>
              </w:rPr>
              <w:t>не менше</w:t>
            </w:r>
            <w:r w:rsidR="00FB3096"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10 відсотків.</w:t>
            </w:r>
            <w:r w:rsidR="00E661C7"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796BD7" w:rsidRPr="00F07995" w:rsidTr="003A12B6">
        <w:trPr>
          <w:jc w:val="center"/>
        </w:trPr>
        <w:tc>
          <w:tcPr>
            <w:tcW w:w="7281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9" w:name="n508"/>
            <w:bookmarkStart w:id="10" w:name="n2928"/>
            <w:bookmarkStart w:id="11" w:name="n510"/>
            <w:bookmarkEnd w:id="9"/>
            <w:bookmarkEnd w:id="10"/>
            <w:bookmarkEnd w:id="11"/>
            <w:r w:rsidRPr="00F07995">
              <w:rPr>
                <w:sz w:val="28"/>
                <w:szCs w:val="28"/>
                <w:lang w:val="uk-UA"/>
              </w:rPr>
              <w:t>4. </w:t>
            </w:r>
            <w:hyperlink r:id="rId24" w:anchor="n11" w:tgtFrame="_blank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Порядок</w:t>
              </w:r>
            </w:hyperlink>
            <w:r w:rsidRPr="00F07995">
              <w:rPr>
                <w:sz w:val="28"/>
                <w:szCs w:val="28"/>
                <w:lang w:val="uk-UA"/>
              </w:rPr>
              <w:t xml:space="preserve"> підготовки, оцінки та відбору </w:t>
            </w:r>
            <w:r w:rsidRPr="00F07995">
              <w:rPr>
                <w:sz w:val="28"/>
                <w:szCs w:val="28"/>
                <w:lang w:val="uk-UA"/>
              </w:rPr>
              <w:lastRenderedPageBreak/>
              <w:t>інвестиційних програм і проектів регіонального розвитку, що можуть реалізовуватися за рахунок коштів державного фонду регіонального розвитку, та </w:t>
            </w:r>
            <w:hyperlink r:id="rId25" w:anchor="n45" w:tgtFrame="_blank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порядок</w:t>
              </w:r>
            </w:hyperlink>
            <w:r w:rsidRPr="00F07995">
              <w:rPr>
                <w:sz w:val="28"/>
                <w:szCs w:val="28"/>
                <w:lang w:val="uk-UA"/>
              </w:rPr>
              <w:t> використання таких коштів (включаючи умови спрямування на таку мету частини коштів місцевих бюджетів) визначаються Кабінетом Міністрів України.</w:t>
            </w:r>
          </w:p>
        </w:tc>
        <w:tc>
          <w:tcPr>
            <w:tcW w:w="7280" w:type="dxa"/>
          </w:tcPr>
          <w:p w:rsidR="00796BD7" w:rsidRPr="00F07995" w:rsidRDefault="00796BD7" w:rsidP="00796BD7">
            <w:pPr>
              <w:ind w:firstLine="284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4. </w:t>
            </w:r>
            <w:hyperlink r:id="rId26" w:anchor="n11" w:tgtFrame="_blank" w:history="1">
              <w:r w:rsidRPr="00F07995">
                <w:rPr>
                  <w:rStyle w:val="ac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Порядок</w:t>
              </w:r>
            </w:hyperlink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 підготовки, оцінки та відбору інвестиційних 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програм і проектів регіонального розвитку, </w:t>
            </w:r>
            <w:r w:rsidR="001878B8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передбачені абзацами</w:t>
            </w:r>
            <w:r w:rsidR="00D63979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другим</w:t>
            </w:r>
            <w:r w:rsidR="00FB3096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та третім</w:t>
            </w:r>
            <w:r w:rsidR="00D63979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частини другої цієї статті, 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що можуть реалізовуватися за рахунок коштів державного фонду регіонального розвитку, та </w:t>
            </w:r>
            <w:hyperlink r:id="rId27" w:anchor="n45" w:tgtFrame="_blank" w:history="1">
              <w:r w:rsidRPr="00F07995">
                <w:rPr>
                  <w:rStyle w:val="ac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порядок</w:t>
              </w:r>
            </w:hyperlink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 використання таких коштів (включаючи умови спрямування на таку мету частини коштів місцевих бюджетів) визначаються Кабінетом Міністрів України.</w:t>
            </w:r>
          </w:p>
        </w:tc>
      </w:tr>
      <w:tr w:rsidR="00796BD7" w:rsidRPr="00F07995" w:rsidTr="003A12B6">
        <w:trPr>
          <w:jc w:val="center"/>
        </w:trPr>
        <w:tc>
          <w:tcPr>
            <w:tcW w:w="7281" w:type="dxa"/>
          </w:tcPr>
          <w:p w:rsidR="00796BD7" w:rsidRPr="00F07995" w:rsidRDefault="00796BD7" w:rsidP="000F54C0">
            <w:pPr>
              <w:pStyle w:val="rvps2"/>
              <w:shd w:val="clear" w:color="auto" w:fill="FFFFFF"/>
              <w:spacing w:before="0" w:beforeAutospacing="0" w:after="150" w:afterAutospacing="0"/>
              <w:ind w:firstLine="448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lastRenderedPageBreak/>
              <w:t>5. Розподіл коштів державного фонду регіонального розвитку за адміністративно-територіальними одиницями та інвестиційними програмами і проектами регіонального розвитку затверджується Кабінетом Міністрів України за погодженням з Комітетом Верховної Ради України з питань бюджету у двомісячний строк із дня набрання чинності законом про Державний бюджет України.</w:t>
            </w:r>
          </w:p>
        </w:tc>
        <w:tc>
          <w:tcPr>
            <w:tcW w:w="7280" w:type="dxa"/>
          </w:tcPr>
          <w:p w:rsidR="00796BD7" w:rsidRPr="00F07995" w:rsidRDefault="00796BD7" w:rsidP="000F54C0">
            <w:pPr>
              <w:ind w:firstLine="448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5. Розподіл коштів державного фонду регіонального розвитку за адміністративно-територіальними одиницями та інвестиційними програмами і проектами регіонального розвитку затверджується Кабінетом Міністрів України за погодженням з Комітетом Верховної Ради України з питань бюджету у двомісячний строк із дня набрання чинності законом про Державний бюджет України.</w:t>
            </w:r>
          </w:p>
        </w:tc>
      </w:tr>
      <w:tr w:rsidR="00796BD7" w:rsidRPr="00F07995" w:rsidTr="003A12B6">
        <w:trPr>
          <w:jc w:val="center"/>
        </w:trPr>
        <w:tc>
          <w:tcPr>
            <w:tcW w:w="14561" w:type="dxa"/>
            <w:gridSpan w:val="2"/>
          </w:tcPr>
          <w:p w:rsidR="00796BD7" w:rsidRPr="00F07995" w:rsidRDefault="00796BD7" w:rsidP="00796BD7">
            <w:pPr>
              <w:jc w:val="center"/>
              <w:rPr>
                <w:rStyle w:val="rvts15"/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07995">
              <w:rPr>
                <w:rStyle w:val="rvts15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Розділ III.</w:t>
            </w:r>
            <w:r w:rsidRPr="00F07995">
              <w:rPr>
                <w:rStyle w:val="rvts15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br/>
              <w:t>МІСЦЕВІ БЮДЖЕТИ</w:t>
            </w:r>
          </w:p>
          <w:p w:rsidR="00796BD7" w:rsidRPr="00F07995" w:rsidRDefault="00796BD7" w:rsidP="00796BD7">
            <w:pPr>
              <w:jc w:val="center"/>
              <w:rPr>
                <w:rStyle w:val="rvts9"/>
                <w:rFonts w:ascii="Times New Roman" w:hAnsi="Times New Roman"/>
                <w:sz w:val="28"/>
                <w:szCs w:val="28"/>
                <w:lang w:val="uk-UA"/>
              </w:rPr>
            </w:pPr>
            <w:bookmarkStart w:id="12" w:name="n1012"/>
            <w:bookmarkEnd w:id="12"/>
            <w:r w:rsidRPr="00F07995">
              <w:rPr>
                <w:rStyle w:val="rvts15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Глава 16. МІЖБЮДЖЕТНІ ТРАНСФЕРТИ</w:t>
            </w:r>
          </w:p>
        </w:tc>
      </w:tr>
      <w:tr w:rsidR="00796BD7" w:rsidRPr="00F07995" w:rsidTr="003A12B6">
        <w:trPr>
          <w:jc w:val="center"/>
        </w:trPr>
        <w:tc>
          <w:tcPr>
            <w:tcW w:w="7281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F0799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Стаття 103-6. </w:t>
            </w:r>
            <w:r w:rsidRPr="00F07995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>Додаткова дотація на здійснення переданих з державного бюджету видатків з утримання закладів освіти та охорони здоров’я</w:t>
            </w:r>
          </w:p>
        </w:tc>
        <w:tc>
          <w:tcPr>
            <w:tcW w:w="7280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F0799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Стаття 103-6. </w:t>
            </w:r>
            <w:r w:rsidRPr="00F07995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Додаткова дотація на здійснення переданих з державного бюджету видатків з утримання закладів освіти та охорони здоров’я</w:t>
            </w:r>
            <w:r w:rsidRPr="00F0799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796BD7" w:rsidRPr="00F07995" w:rsidTr="003A12B6">
        <w:trPr>
          <w:jc w:val="center"/>
        </w:trPr>
        <w:tc>
          <w:tcPr>
            <w:tcW w:w="7281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 w:eastAsia="en-US"/>
              </w:rPr>
            </w:pPr>
            <w:r w:rsidRPr="00F07995">
              <w:rPr>
                <w:sz w:val="28"/>
                <w:szCs w:val="28"/>
                <w:lang w:val="uk-UA"/>
              </w:rPr>
              <w:t>1. Додаткова дотація на здійснення переданих з державного бюджету видатків з утримання закладів освіти та охорони здоров’я спрямовується на: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13" w:name="n3146"/>
            <w:bookmarkEnd w:id="13"/>
            <w:r w:rsidRPr="00F07995">
              <w:rPr>
                <w:sz w:val="28"/>
                <w:szCs w:val="28"/>
                <w:lang w:val="uk-UA"/>
              </w:rPr>
              <w:t>1) видатки закладів освіти, визначених у </w:t>
            </w:r>
            <w:hyperlink r:id="rId28" w:anchor="n2432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частині першій</w:t>
              </w:r>
            </w:hyperlink>
            <w:r w:rsidRPr="00F07995">
              <w:rPr>
                <w:sz w:val="28"/>
                <w:szCs w:val="28"/>
                <w:lang w:val="uk-UA"/>
              </w:rPr>
              <w:t> статті 103</w:t>
            </w:r>
            <w:r w:rsidRPr="00F07995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F07995">
              <w:rPr>
                <w:sz w:val="28"/>
                <w:szCs w:val="28"/>
                <w:lang w:val="uk-UA"/>
              </w:rPr>
              <w:t> цього Кодексу (крім видатків на оплату праці з нарахуваннями педагогічних працівників закладів освіти, визначених </w:t>
            </w:r>
            <w:hyperlink r:id="rId29" w:anchor="n2433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пунктами 1-4</w:t>
              </w:r>
            </w:hyperlink>
            <w:r w:rsidRPr="00F07995">
              <w:rPr>
                <w:sz w:val="28"/>
                <w:szCs w:val="28"/>
                <w:lang w:val="uk-UA"/>
              </w:rPr>
              <w:t> частини першої статті 103</w:t>
            </w:r>
            <w:r w:rsidRPr="00F07995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F07995">
              <w:rPr>
                <w:sz w:val="28"/>
                <w:szCs w:val="28"/>
                <w:lang w:val="uk-UA"/>
              </w:rPr>
              <w:t> цього Кодексу, а також закладів освіти, визначених </w:t>
            </w:r>
            <w:hyperlink r:id="rId30" w:anchor="n2437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пунктами 5</w:t>
              </w:r>
            </w:hyperlink>
            <w:r w:rsidRPr="00F07995">
              <w:rPr>
                <w:sz w:val="28"/>
                <w:szCs w:val="28"/>
                <w:lang w:val="uk-UA"/>
              </w:rPr>
              <w:t> і </w:t>
            </w:r>
            <w:hyperlink r:id="rId31" w:anchor="n2438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6</w:t>
              </w:r>
            </w:hyperlink>
            <w:r w:rsidRPr="00F07995">
              <w:rPr>
                <w:sz w:val="28"/>
                <w:szCs w:val="28"/>
                <w:lang w:val="uk-UA"/>
              </w:rPr>
              <w:t> частини першої статті 103</w:t>
            </w:r>
            <w:r w:rsidRPr="00F07995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</w:t>
            </w:r>
            <w:r w:rsidRPr="00F07995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lastRenderedPageBreak/>
              <w:t>2</w:t>
            </w:r>
            <w:r w:rsidRPr="00F07995">
              <w:rPr>
                <w:sz w:val="28"/>
                <w:szCs w:val="28"/>
                <w:lang w:val="uk-UA"/>
              </w:rPr>
              <w:t> цього Кодексу, в частині здобуття повної загальної середньої освіти);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rStyle w:val="rvts9"/>
                <w:sz w:val="28"/>
                <w:szCs w:val="28"/>
                <w:lang w:val="uk-UA"/>
              </w:rPr>
            </w:pPr>
            <w:bookmarkStart w:id="14" w:name="n3678"/>
            <w:bookmarkStart w:id="15" w:name="n3147"/>
            <w:bookmarkEnd w:id="14"/>
            <w:bookmarkEnd w:id="15"/>
            <w:r w:rsidRPr="00F07995">
              <w:rPr>
                <w:sz w:val="28"/>
                <w:szCs w:val="28"/>
                <w:lang w:val="uk-UA"/>
              </w:rPr>
              <w:t>2) видатки закладів охорони здоров’я, визначених у </w:t>
            </w:r>
            <w:hyperlink r:id="rId32" w:anchor="n1407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пункті 3</w:t>
              </w:r>
            </w:hyperlink>
            <w:r w:rsidRPr="00F07995">
              <w:rPr>
                <w:sz w:val="28"/>
                <w:szCs w:val="28"/>
                <w:lang w:val="uk-UA"/>
              </w:rPr>
              <w:t> частини першої статті 89 та у </w:t>
            </w:r>
            <w:hyperlink r:id="rId33" w:anchor="n1439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пункті 3</w:t>
              </w:r>
            </w:hyperlink>
            <w:r w:rsidRPr="00F07995">
              <w:rPr>
                <w:sz w:val="28"/>
                <w:szCs w:val="28"/>
                <w:lang w:val="uk-UA"/>
              </w:rPr>
              <w:t> частини першої статті 90 цього Кодексу, на оплату комунальних послуг та енергоносіїв.</w:t>
            </w:r>
            <w:bookmarkStart w:id="16" w:name="n3148"/>
            <w:bookmarkStart w:id="17" w:name="n3307"/>
            <w:bookmarkEnd w:id="16"/>
            <w:bookmarkEnd w:id="17"/>
            <w:r w:rsidRPr="00F07995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280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 w:eastAsia="en-US"/>
              </w:rPr>
            </w:pPr>
            <w:r w:rsidRPr="00F07995">
              <w:rPr>
                <w:sz w:val="28"/>
                <w:szCs w:val="28"/>
                <w:lang w:val="uk-UA"/>
              </w:rPr>
              <w:lastRenderedPageBreak/>
              <w:t>1. Додаткова дотація на здійснення переданих з державного бюджету видатків з утримання закладів освіти та охорони здоров’я спрямовується на: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>1) видатки закладів освіти, визначених у </w:t>
            </w:r>
            <w:hyperlink r:id="rId34" w:anchor="n2432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частині першій</w:t>
              </w:r>
            </w:hyperlink>
            <w:r w:rsidRPr="00F07995">
              <w:rPr>
                <w:sz w:val="28"/>
                <w:szCs w:val="28"/>
                <w:lang w:val="uk-UA"/>
              </w:rPr>
              <w:t> статті 103</w:t>
            </w:r>
            <w:r w:rsidRPr="00F07995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F07995">
              <w:rPr>
                <w:sz w:val="28"/>
                <w:szCs w:val="28"/>
                <w:lang w:val="uk-UA"/>
              </w:rPr>
              <w:t> цього Кодексу (крім видатків на оплату праці з нарахуваннями педагогічних працівників закладів освіти, визначених </w:t>
            </w:r>
            <w:hyperlink r:id="rId35" w:anchor="n2433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пунктами 1-4</w:t>
              </w:r>
            </w:hyperlink>
            <w:r w:rsidRPr="00F07995">
              <w:rPr>
                <w:sz w:val="28"/>
                <w:szCs w:val="28"/>
                <w:lang w:val="uk-UA"/>
              </w:rPr>
              <w:t> частини першої статті 103</w:t>
            </w:r>
            <w:r w:rsidRPr="00F07995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F07995">
              <w:rPr>
                <w:sz w:val="28"/>
                <w:szCs w:val="28"/>
                <w:lang w:val="uk-UA"/>
              </w:rPr>
              <w:t> цього Кодексу, а також закладів освіти, визначених </w:t>
            </w:r>
            <w:hyperlink r:id="rId36" w:anchor="n2437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пунктами 5</w:t>
              </w:r>
            </w:hyperlink>
            <w:r w:rsidRPr="00F07995">
              <w:rPr>
                <w:sz w:val="28"/>
                <w:szCs w:val="28"/>
                <w:lang w:val="uk-UA"/>
              </w:rPr>
              <w:t> і </w:t>
            </w:r>
            <w:hyperlink r:id="rId37" w:anchor="n2438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6</w:t>
              </w:r>
            </w:hyperlink>
            <w:r w:rsidRPr="00F07995">
              <w:rPr>
                <w:sz w:val="28"/>
                <w:szCs w:val="28"/>
                <w:lang w:val="uk-UA"/>
              </w:rPr>
              <w:t> частини першої статті 103</w:t>
            </w:r>
            <w:r w:rsidRPr="00F07995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</w:t>
            </w:r>
            <w:r w:rsidRPr="00F07995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lastRenderedPageBreak/>
              <w:t>2</w:t>
            </w:r>
            <w:r w:rsidRPr="00F07995">
              <w:rPr>
                <w:sz w:val="28"/>
                <w:szCs w:val="28"/>
                <w:lang w:val="uk-UA"/>
              </w:rPr>
              <w:t> цього Кодексу, в частині здобуття повної загальної середньої освіти);</w:t>
            </w:r>
          </w:p>
          <w:p w:rsidR="00796BD7" w:rsidRPr="00F07995" w:rsidRDefault="00796BD7" w:rsidP="00796BD7">
            <w:pPr>
              <w:shd w:val="clear" w:color="auto" w:fill="FFFFFF"/>
              <w:spacing w:after="120"/>
              <w:ind w:firstLine="450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2) видатки закладів охорони здоров’я, визначених у </w:t>
            </w:r>
            <w:hyperlink r:id="rId38" w:anchor="n1407" w:history="1">
              <w:r w:rsidRPr="00F07995">
                <w:rPr>
                  <w:rStyle w:val="ac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пункті 3</w:t>
              </w:r>
            </w:hyperlink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> частини першої статті 89 та у </w:t>
            </w:r>
            <w:hyperlink r:id="rId39" w:anchor="n1439" w:history="1">
              <w:r w:rsidRPr="00F07995">
                <w:rPr>
                  <w:rStyle w:val="ac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пункті 3</w:t>
              </w:r>
            </w:hyperlink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 частини першої статті 90 цього Кодексу, на оплату комунальних послуг та енергоносіїв. </w:t>
            </w:r>
          </w:p>
        </w:tc>
      </w:tr>
      <w:tr w:rsidR="00796BD7" w:rsidRPr="00F07995" w:rsidTr="003A12B6">
        <w:trPr>
          <w:jc w:val="center"/>
        </w:trPr>
        <w:tc>
          <w:tcPr>
            <w:tcW w:w="7281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lastRenderedPageBreak/>
              <w:t xml:space="preserve">2. У законі про Державний бюджет України затверджуються обсяги додаткової дотації на здійснення переданих з державного бюджету видатків з утримання закладів освіти та охорони здоров’я для обласних бюджетів. </w:t>
            </w:r>
          </w:p>
        </w:tc>
        <w:tc>
          <w:tcPr>
            <w:tcW w:w="7280" w:type="dxa"/>
          </w:tcPr>
          <w:p w:rsidR="00796BD7" w:rsidRPr="00F07995" w:rsidRDefault="00796BD7" w:rsidP="000A1957">
            <w:pPr>
              <w:shd w:val="clear" w:color="auto" w:fill="FFFFFF"/>
              <w:spacing w:after="120"/>
              <w:ind w:firstLine="450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079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2. 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законі про Державний бюджет України затверджуються обсяги додаткової дотації на здійснення переданих з державного бюджету видатків з утримання закладів освіти та охорони здоров’я </w:t>
            </w:r>
            <w:r w:rsidR="003B3C2C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окремо для обласних бюджетів і бюджетів місцевого самоврядування.</w:t>
            </w:r>
            <w:r w:rsidRPr="00F0799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796BD7" w:rsidRPr="00F07995" w:rsidTr="003A12B6">
        <w:trPr>
          <w:jc w:val="center"/>
        </w:trPr>
        <w:tc>
          <w:tcPr>
            <w:tcW w:w="7281" w:type="dxa"/>
          </w:tcPr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>3. Додаткова дотація на здійснення переданих з державного бюджету видатків з утримання закладів освіти та охорони здоров’я розподіляється між обласними бюджетами з урахуванням таких параметрів: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18" w:name="n3150"/>
            <w:bookmarkEnd w:id="18"/>
            <w:r w:rsidRPr="00F07995">
              <w:rPr>
                <w:sz w:val="28"/>
                <w:szCs w:val="28"/>
                <w:lang w:val="uk-UA"/>
              </w:rPr>
              <w:t>1) кількість населення;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19" w:name="n3151"/>
            <w:bookmarkEnd w:id="19"/>
            <w:r w:rsidRPr="00F07995">
              <w:rPr>
                <w:sz w:val="28"/>
                <w:szCs w:val="28"/>
                <w:lang w:val="uk-UA"/>
              </w:rPr>
              <w:t>2) надходження доходів місцевих бюджетів області, визначених пунктом 1 частини першої статей </w:t>
            </w:r>
            <w:hyperlink r:id="rId40" w:anchor="n1015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64</w:t>
              </w:r>
            </w:hyperlink>
            <w:r w:rsidRPr="00F07995">
              <w:rPr>
                <w:sz w:val="28"/>
                <w:szCs w:val="28"/>
                <w:lang w:val="uk-UA"/>
              </w:rPr>
              <w:t> і </w:t>
            </w:r>
            <w:hyperlink r:id="rId41" w:anchor="n1051" w:history="1">
              <w:r w:rsidRPr="00F07995">
                <w:rPr>
                  <w:rStyle w:val="ac"/>
                  <w:color w:val="auto"/>
                  <w:sz w:val="28"/>
                  <w:szCs w:val="28"/>
                  <w:lang w:val="uk-UA"/>
                </w:rPr>
                <w:t>66</w:t>
              </w:r>
            </w:hyperlink>
            <w:r w:rsidRPr="00F07995">
              <w:rPr>
                <w:sz w:val="28"/>
                <w:szCs w:val="28"/>
                <w:lang w:val="uk-UA"/>
              </w:rPr>
              <w:t> цього Кодексу, за відповідний звітний період року, що передує плановому;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20" w:name="n3152"/>
            <w:bookmarkEnd w:id="20"/>
            <w:r w:rsidRPr="00F07995">
              <w:rPr>
                <w:sz w:val="28"/>
                <w:szCs w:val="28"/>
                <w:lang w:val="uk-UA"/>
              </w:rPr>
              <w:t>3) приведений індекс відносної податкоспроможності зведеного бюджету області;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21" w:name="n3680"/>
            <w:bookmarkEnd w:id="21"/>
            <w:r w:rsidRPr="00F07995">
              <w:rPr>
                <w:sz w:val="28"/>
                <w:szCs w:val="28"/>
                <w:lang w:val="uk-UA"/>
              </w:rPr>
              <w:t>4) кількість учнів закладів загальної середньої та професійної (професійно-технічної) освіти.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22" w:name="n3153"/>
            <w:bookmarkEnd w:id="22"/>
            <w:r w:rsidRPr="00F07995">
              <w:rPr>
                <w:sz w:val="28"/>
                <w:szCs w:val="28"/>
                <w:lang w:val="uk-UA"/>
              </w:rPr>
              <w:t xml:space="preserve">Розподіл додаткової дотації на здійснення переданих з державного бюджету видатків з утримання закладів освіти </w:t>
            </w:r>
            <w:r w:rsidRPr="00F07995">
              <w:rPr>
                <w:sz w:val="28"/>
                <w:szCs w:val="28"/>
                <w:lang w:val="uk-UA"/>
              </w:rPr>
              <w:lastRenderedPageBreak/>
              <w:t>та охорони здоров’я здійснюється в таких пропорціях: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>10 відсотків обсягу - пропорційно до питомої ваги кількості наявного населення області станом на 1 січня року, що передує плановому;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23" w:name="n3155"/>
            <w:bookmarkEnd w:id="23"/>
            <w:r w:rsidRPr="00F07995">
              <w:rPr>
                <w:sz w:val="28"/>
                <w:szCs w:val="28"/>
                <w:lang w:val="uk-UA"/>
              </w:rPr>
              <w:t>40 відсотків обсягу - пропорційно до питомої ваги приведеного індексу відносної податкоспроможності зведеного бюджету області;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24" w:name="n3681"/>
            <w:bookmarkEnd w:id="24"/>
            <w:r w:rsidRPr="00F07995">
              <w:rPr>
                <w:sz w:val="28"/>
                <w:szCs w:val="28"/>
                <w:lang w:val="uk-UA"/>
              </w:rPr>
              <w:t>50 відсотків обсягу - пропорційно до питомої ваги кількості учнів закладів загальної середньої та професійної (професійно-технічної) освіти станом на 1 січня року, що передує плановому.</w:t>
            </w:r>
          </w:p>
        </w:tc>
        <w:tc>
          <w:tcPr>
            <w:tcW w:w="7280" w:type="dxa"/>
          </w:tcPr>
          <w:p w:rsidR="008A2C0E" w:rsidRPr="00F07995" w:rsidRDefault="00796BD7" w:rsidP="00796BD7">
            <w:pPr>
              <w:shd w:val="clear" w:color="auto" w:fill="FFFFFF"/>
              <w:spacing w:after="120"/>
              <w:ind w:firstLine="45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 xml:space="preserve">3. Додаткова дотація на здійснення переданих з державного бюджету видатків з утримання закладів освіти та охорони здоров’я </w:t>
            </w:r>
            <w:r w:rsidR="008A2C0E" w:rsidRPr="00F079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розподіляється між місцевими бюджетами у таких пропорціях: </w:t>
            </w:r>
          </w:p>
          <w:p w:rsidR="00796BD7" w:rsidRPr="00F07995" w:rsidRDefault="00796BD7" w:rsidP="000A1957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  <w:lang w:val="uk-UA"/>
              </w:rPr>
              <w:t>20 відсотків</w:t>
            </w:r>
            <w:r w:rsidR="000B5F13" w:rsidRPr="00F07995">
              <w:rPr>
                <w:b/>
                <w:sz w:val="28"/>
                <w:szCs w:val="28"/>
                <w:lang w:val="uk-UA"/>
              </w:rPr>
              <w:t xml:space="preserve"> спрямовується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до обласних бюджетів; </w:t>
            </w:r>
          </w:p>
          <w:p w:rsidR="00796BD7" w:rsidRPr="00F07995" w:rsidRDefault="00796BD7" w:rsidP="00796BD7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  <w:lang w:val="uk-UA"/>
              </w:rPr>
              <w:t xml:space="preserve">40 відсотків </w:t>
            </w:r>
            <w:r w:rsidR="000B5F13" w:rsidRPr="00F07995">
              <w:rPr>
                <w:b/>
                <w:sz w:val="28"/>
                <w:szCs w:val="28"/>
                <w:lang w:val="uk-UA"/>
              </w:rPr>
              <w:t xml:space="preserve">– 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до бюджетів </w:t>
            </w:r>
            <w:r w:rsidR="006B3978" w:rsidRPr="00F07995">
              <w:rPr>
                <w:b/>
                <w:sz w:val="28"/>
                <w:szCs w:val="28"/>
                <w:lang w:val="uk-UA"/>
              </w:rPr>
              <w:t xml:space="preserve">міських територіальних громад </w:t>
            </w:r>
            <w:r w:rsidRPr="00F07995">
              <w:rPr>
                <w:b/>
                <w:sz w:val="28"/>
                <w:szCs w:val="28"/>
                <w:lang w:val="uk-UA"/>
              </w:rPr>
              <w:t>(крім бюджету міста Києва);</w:t>
            </w:r>
          </w:p>
          <w:p w:rsidR="00796BD7" w:rsidRPr="00F07995" w:rsidRDefault="00796BD7" w:rsidP="006B3978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  <w:lang w:val="uk-UA"/>
              </w:rPr>
              <w:t>40 відсотків</w:t>
            </w:r>
            <w:r w:rsidR="000B5F13" w:rsidRPr="00F07995">
              <w:rPr>
                <w:b/>
                <w:sz w:val="28"/>
                <w:szCs w:val="28"/>
                <w:lang w:val="uk-UA"/>
              </w:rPr>
              <w:t xml:space="preserve"> –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до </w:t>
            </w:r>
            <w:r w:rsidR="006B3978" w:rsidRPr="00F07995">
              <w:rPr>
                <w:b/>
                <w:sz w:val="28"/>
                <w:szCs w:val="28"/>
                <w:lang w:val="uk-UA"/>
              </w:rPr>
              <w:t>бюджетів сільських, селищних територіальних громад</w:t>
            </w:r>
            <w:r w:rsidRPr="00F07995">
              <w:rPr>
                <w:b/>
                <w:sz w:val="28"/>
                <w:szCs w:val="28"/>
                <w:lang w:val="uk-UA"/>
              </w:rPr>
              <w:t>.</w:t>
            </w:r>
            <w:r w:rsidR="006460B8"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967C39" w:rsidRPr="00F07995" w:rsidRDefault="00967C39" w:rsidP="006B3978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rPr>
                <w:b/>
                <w:sz w:val="28"/>
                <w:szCs w:val="28"/>
                <w:lang w:val="uk-UA"/>
              </w:rPr>
            </w:pPr>
          </w:p>
          <w:p w:rsidR="00967C39" w:rsidRPr="00F07995" w:rsidRDefault="008F692C" w:rsidP="008F692C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  <w:lang w:val="uk-UA"/>
              </w:rPr>
              <w:t>Додаткова дотація на здійснення переданих з державного бюджету видатків з утримання закладів освіти та охорони здоров’я розподіляється</w:t>
            </w:r>
            <w:r w:rsidR="00E21DCD"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між </w:t>
            </w:r>
            <w:r w:rsidR="00E21DCD" w:rsidRPr="00F07995">
              <w:rPr>
                <w:b/>
                <w:sz w:val="28"/>
                <w:szCs w:val="28"/>
                <w:lang w:val="uk-UA"/>
              </w:rPr>
              <w:t>місцевими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бюджетами</w:t>
            </w:r>
            <w:r w:rsidR="00BB0AC5" w:rsidRPr="00F07995">
              <w:rPr>
                <w:b/>
                <w:sz w:val="28"/>
                <w:szCs w:val="28"/>
                <w:lang w:val="uk-UA"/>
              </w:rPr>
              <w:t xml:space="preserve"> в межах пропорцій, визначених абзацами 2-4 частини третьої цієї статті,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з урахуванням таких параметрів: </w:t>
            </w:r>
          </w:p>
          <w:p w:rsidR="008F692C" w:rsidRPr="00F07995" w:rsidRDefault="008F692C" w:rsidP="008F692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  <w:lang w:val="uk-UA"/>
              </w:rPr>
              <w:t>1) кількість населення</w:t>
            </w:r>
            <w:r w:rsidR="00337D08" w:rsidRPr="00F07995">
              <w:rPr>
                <w:b/>
                <w:sz w:val="28"/>
                <w:szCs w:val="28"/>
                <w:lang w:val="uk-UA"/>
              </w:rPr>
              <w:t xml:space="preserve"> області (територіальної </w:t>
            </w:r>
            <w:r w:rsidR="00337D08" w:rsidRPr="00F07995">
              <w:rPr>
                <w:b/>
                <w:sz w:val="28"/>
                <w:szCs w:val="28"/>
                <w:lang w:val="uk-UA"/>
              </w:rPr>
              <w:lastRenderedPageBreak/>
              <w:t>громади)</w:t>
            </w:r>
            <w:r w:rsidRPr="00F07995">
              <w:rPr>
                <w:b/>
                <w:sz w:val="28"/>
                <w:szCs w:val="28"/>
                <w:lang w:val="uk-UA"/>
              </w:rPr>
              <w:t>;</w:t>
            </w:r>
          </w:p>
          <w:p w:rsidR="008F692C" w:rsidRPr="00F07995" w:rsidRDefault="008F692C" w:rsidP="008F692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  <w:lang w:val="uk-UA"/>
              </w:rPr>
              <w:t>2) надходження доходів місцевих бюджетів, визначених пунктом 1 частини першої статей </w:t>
            </w:r>
            <w:hyperlink r:id="rId42" w:anchor="n1015" w:history="1">
              <w:r w:rsidRPr="00F07995">
                <w:rPr>
                  <w:rStyle w:val="ac"/>
                  <w:b/>
                  <w:color w:val="auto"/>
                  <w:sz w:val="28"/>
                  <w:szCs w:val="28"/>
                  <w:lang w:val="uk-UA"/>
                </w:rPr>
                <w:t>64</w:t>
              </w:r>
            </w:hyperlink>
            <w:r w:rsidRPr="00F07995">
              <w:rPr>
                <w:b/>
                <w:sz w:val="28"/>
                <w:szCs w:val="28"/>
                <w:lang w:val="uk-UA"/>
              </w:rPr>
              <w:t> і </w:t>
            </w:r>
            <w:hyperlink r:id="rId43" w:anchor="n1051" w:history="1">
              <w:r w:rsidRPr="00F07995">
                <w:rPr>
                  <w:rStyle w:val="ac"/>
                  <w:b/>
                  <w:color w:val="auto"/>
                  <w:sz w:val="28"/>
                  <w:szCs w:val="28"/>
                  <w:lang w:val="uk-UA"/>
                </w:rPr>
                <w:t>66</w:t>
              </w:r>
            </w:hyperlink>
            <w:r w:rsidRPr="00F07995">
              <w:rPr>
                <w:b/>
                <w:sz w:val="28"/>
                <w:szCs w:val="28"/>
                <w:lang w:val="uk-UA"/>
              </w:rPr>
              <w:t> цього Кодексу, за відповідний звітний період року, що передує плановому;</w:t>
            </w:r>
          </w:p>
          <w:p w:rsidR="008F692C" w:rsidRPr="00F07995" w:rsidRDefault="008F692C" w:rsidP="00B2356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  <w:lang w:val="uk-UA"/>
              </w:rPr>
              <w:t>3) приведений індекс відносної податкоспроможності зведеного бюджету області</w:t>
            </w:r>
            <w:r w:rsidR="00157EC9" w:rsidRPr="00F07995">
              <w:rPr>
                <w:b/>
                <w:sz w:val="28"/>
                <w:szCs w:val="28"/>
                <w:lang w:val="uk-UA"/>
              </w:rPr>
              <w:t xml:space="preserve"> (</w:t>
            </w:r>
            <w:r w:rsidR="00EB273D" w:rsidRPr="00F07995">
              <w:rPr>
                <w:b/>
                <w:sz w:val="28"/>
                <w:szCs w:val="28"/>
                <w:lang w:val="uk-UA"/>
              </w:rPr>
              <w:t xml:space="preserve">бюджету </w:t>
            </w:r>
            <w:r w:rsidR="00157EC9" w:rsidRPr="00F07995">
              <w:rPr>
                <w:b/>
                <w:sz w:val="28"/>
                <w:szCs w:val="28"/>
                <w:lang w:val="uk-UA"/>
              </w:rPr>
              <w:t>територіальної громади)</w:t>
            </w:r>
            <w:r w:rsidR="00B23569" w:rsidRPr="00F07995">
              <w:rPr>
                <w:b/>
                <w:sz w:val="28"/>
                <w:szCs w:val="28"/>
                <w:lang w:val="uk-UA"/>
              </w:rPr>
              <w:t xml:space="preserve">. </w:t>
            </w:r>
          </w:p>
          <w:p w:rsidR="008F692C" w:rsidRPr="00F07995" w:rsidRDefault="008F692C" w:rsidP="008F692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  <w:lang w:val="uk-UA"/>
              </w:rPr>
              <w:t>Розподіл додаткової дотації на здійснення переданих з державного бюджету видатків з утримання закладів освіти та охорони здоров’я здійснюється в таких пропорціях:</w:t>
            </w:r>
          </w:p>
          <w:p w:rsidR="008F692C" w:rsidRPr="00F07995" w:rsidRDefault="00F640F7" w:rsidP="008F692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</w:rPr>
              <w:t>3</w:t>
            </w:r>
            <w:r w:rsidR="00B23569" w:rsidRPr="00F07995">
              <w:rPr>
                <w:b/>
                <w:sz w:val="28"/>
                <w:szCs w:val="28"/>
                <w:lang w:val="uk-UA"/>
              </w:rPr>
              <w:t>5</w:t>
            </w:r>
            <w:r w:rsidR="008F692C" w:rsidRPr="00F07995">
              <w:rPr>
                <w:b/>
                <w:sz w:val="28"/>
                <w:szCs w:val="28"/>
                <w:lang w:val="uk-UA"/>
              </w:rPr>
              <w:t xml:space="preserve"> відсотків обсягу - пропорційно до питомої ваги кількості наявного населення області</w:t>
            </w:r>
            <w:r w:rsidR="00250350" w:rsidRPr="00F07995">
              <w:rPr>
                <w:b/>
                <w:sz w:val="28"/>
                <w:szCs w:val="28"/>
                <w:lang w:val="uk-UA"/>
              </w:rPr>
              <w:t xml:space="preserve"> (територіальної громади)</w:t>
            </w:r>
            <w:r w:rsidR="008F692C" w:rsidRPr="00F07995">
              <w:rPr>
                <w:b/>
                <w:sz w:val="28"/>
                <w:szCs w:val="28"/>
                <w:lang w:val="uk-UA"/>
              </w:rPr>
              <w:t xml:space="preserve"> станом на 1 січня року, що передує плановому;</w:t>
            </w:r>
          </w:p>
          <w:p w:rsidR="00B946B9" w:rsidRPr="00F07995" w:rsidRDefault="00B23569" w:rsidP="009551A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sz w:val="28"/>
                <w:szCs w:val="28"/>
                <w:lang w:val="uk-UA"/>
              </w:rPr>
            </w:pPr>
            <w:r w:rsidRPr="00F07995">
              <w:rPr>
                <w:b/>
                <w:sz w:val="28"/>
                <w:szCs w:val="28"/>
                <w:lang w:val="uk-UA"/>
              </w:rPr>
              <w:t>65</w:t>
            </w:r>
            <w:r w:rsidR="008F692C" w:rsidRPr="00F07995">
              <w:rPr>
                <w:b/>
                <w:sz w:val="28"/>
                <w:szCs w:val="28"/>
                <w:lang w:val="uk-UA"/>
              </w:rPr>
              <w:t xml:space="preserve"> відсотків обсягу - пропорційно до питомої ваги приведеного індексу відносної податкоспроможності зведеного бюджету області</w:t>
            </w:r>
            <w:r w:rsidR="00250350" w:rsidRPr="00F07995">
              <w:rPr>
                <w:b/>
                <w:sz w:val="28"/>
                <w:szCs w:val="28"/>
                <w:lang w:val="uk-UA"/>
              </w:rPr>
              <w:t xml:space="preserve"> (</w:t>
            </w:r>
            <w:r w:rsidR="00EB273D" w:rsidRPr="00F07995">
              <w:rPr>
                <w:b/>
                <w:sz w:val="28"/>
                <w:szCs w:val="28"/>
                <w:lang w:val="uk-UA"/>
              </w:rPr>
              <w:t xml:space="preserve">бюджету </w:t>
            </w:r>
            <w:r w:rsidR="00250350" w:rsidRPr="00F07995">
              <w:rPr>
                <w:b/>
                <w:sz w:val="28"/>
                <w:szCs w:val="28"/>
                <w:lang w:val="uk-UA"/>
              </w:rPr>
              <w:t>територіальної громади)</w:t>
            </w:r>
            <w:r w:rsidR="00F64F69" w:rsidRPr="00F07995">
              <w:rPr>
                <w:b/>
                <w:sz w:val="28"/>
                <w:szCs w:val="28"/>
                <w:lang w:val="uk-UA"/>
              </w:rPr>
              <w:t xml:space="preserve">. </w:t>
            </w:r>
          </w:p>
          <w:p w:rsidR="003A12B6" w:rsidRPr="00F07995" w:rsidRDefault="003A12B6" w:rsidP="009551A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sz w:val="28"/>
                <w:szCs w:val="28"/>
                <w:lang w:val="uk-UA"/>
              </w:rPr>
            </w:pPr>
          </w:p>
        </w:tc>
      </w:tr>
      <w:tr w:rsidR="003A12B6" w:rsidRPr="00F07995" w:rsidTr="003A12B6">
        <w:trPr>
          <w:jc w:val="center"/>
        </w:trPr>
        <w:tc>
          <w:tcPr>
            <w:tcW w:w="7281" w:type="dxa"/>
          </w:tcPr>
          <w:p w:rsidR="003A12B6" w:rsidRPr="00F07995" w:rsidRDefault="003A12B6" w:rsidP="003A12B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lastRenderedPageBreak/>
              <w:t xml:space="preserve">4. Приведений індекс відносної податкоспроможності є коефіцієнтом, що визначається як сума середнього індексу податкоспроможності зведених бюджетів областей, значення якого дорівнює 1, та показника, що відображає різницю між середнім індексом податкоспроможності зведених бюджетів областей та індексом </w:t>
            </w:r>
            <w:r w:rsidRPr="00F07995">
              <w:rPr>
                <w:sz w:val="28"/>
                <w:szCs w:val="28"/>
                <w:lang w:val="uk-UA"/>
              </w:rPr>
              <w:lastRenderedPageBreak/>
              <w:t>податкоспроможності відповідного зведеного бюджету області.</w:t>
            </w:r>
          </w:p>
        </w:tc>
        <w:tc>
          <w:tcPr>
            <w:tcW w:w="7280" w:type="dxa"/>
          </w:tcPr>
          <w:p w:rsidR="003A12B6" w:rsidRPr="00F07995" w:rsidRDefault="003A12B6" w:rsidP="00110B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lastRenderedPageBreak/>
              <w:t xml:space="preserve">4. Приведений індекс відносної податкоспроможності є коефіцієнтом, що визначається як сума середнього індексу податкоспроможності відповідних місцевих бюджетів, значення якого дорівнює 1, та показника, який відображає різницю між середнім індексом податкоспроможності місцевих бюджетів та індексом податкоспроможності </w:t>
            </w:r>
            <w:r w:rsidRPr="00F07995">
              <w:rPr>
                <w:sz w:val="28"/>
                <w:szCs w:val="28"/>
                <w:lang w:val="uk-UA"/>
              </w:rPr>
              <w:lastRenderedPageBreak/>
              <w:t xml:space="preserve">відповідного бюджету. </w:t>
            </w:r>
            <w:r w:rsidR="007B137B" w:rsidRPr="00F07995">
              <w:rPr>
                <w:b/>
                <w:sz w:val="28"/>
                <w:szCs w:val="28"/>
                <w:lang w:val="uk-UA"/>
              </w:rPr>
              <w:t xml:space="preserve">Якщо </w:t>
            </w:r>
            <w:r w:rsidRPr="00F07995">
              <w:rPr>
                <w:rFonts w:hint="eastAsia"/>
                <w:b/>
                <w:sz w:val="28"/>
                <w:szCs w:val="28"/>
                <w:lang w:val="uk-UA"/>
              </w:rPr>
              <w:t>індекс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Fonts w:hint="eastAsia"/>
                <w:b/>
                <w:sz w:val="28"/>
                <w:szCs w:val="28"/>
                <w:lang w:val="uk-UA"/>
              </w:rPr>
              <w:t>податкоспроможності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Fonts w:hint="eastAsia"/>
                <w:b/>
                <w:sz w:val="28"/>
                <w:szCs w:val="28"/>
                <w:lang w:val="uk-UA"/>
              </w:rPr>
              <w:t>більше</w:t>
            </w:r>
            <w:r w:rsidR="00F95FE4" w:rsidRPr="00F07995">
              <w:rPr>
                <w:b/>
                <w:sz w:val="28"/>
                <w:szCs w:val="28"/>
                <w:lang w:val="uk-UA"/>
              </w:rPr>
              <w:t xml:space="preserve"> і дорівнює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="007B137B" w:rsidRPr="00F07995">
              <w:rPr>
                <w:b/>
                <w:sz w:val="28"/>
                <w:szCs w:val="28"/>
                <w:lang w:val="uk-UA"/>
              </w:rPr>
              <w:t>2,0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, </w:t>
            </w:r>
            <w:r w:rsidRPr="00F07995">
              <w:rPr>
                <w:rFonts w:hint="eastAsia"/>
                <w:b/>
                <w:sz w:val="28"/>
                <w:szCs w:val="28"/>
                <w:lang w:val="uk-UA"/>
              </w:rPr>
              <w:t>то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="007B137B" w:rsidRPr="00F07995">
              <w:rPr>
                <w:b/>
                <w:sz w:val="28"/>
                <w:szCs w:val="28"/>
                <w:lang w:val="uk-UA"/>
              </w:rPr>
              <w:t xml:space="preserve">приведений </w:t>
            </w:r>
            <w:r w:rsidRPr="00F07995">
              <w:rPr>
                <w:rFonts w:hint="eastAsia"/>
                <w:b/>
                <w:sz w:val="28"/>
                <w:szCs w:val="28"/>
                <w:lang w:val="uk-UA"/>
              </w:rPr>
              <w:t>індекс</w:t>
            </w:r>
            <w:r w:rsidR="007B137B" w:rsidRPr="00F07995">
              <w:rPr>
                <w:b/>
                <w:sz w:val="28"/>
                <w:szCs w:val="28"/>
                <w:lang w:val="uk-UA"/>
              </w:rPr>
              <w:t xml:space="preserve"> відносної податкоспроможності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Fonts w:hint="eastAsia"/>
                <w:b/>
                <w:sz w:val="28"/>
                <w:szCs w:val="28"/>
                <w:lang w:val="uk-UA"/>
              </w:rPr>
              <w:t>застосовується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Fonts w:hint="eastAsia"/>
                <w:b/>
                <w:sz w:val="28"/>
                <w:szCs w:val="28"/>
                <w:lang w:val="uk-UA"/>
              </w:rPr>
              <w:t>із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07995">
              <w:rPr>
                <w:rFonts w:hint="eastAsia"/>
                <w:b/>
                <w:sz w:val="28"/>
                <w:szCs w:val="28"/>
                <w:lang w:val="uk-UA"/>
              </w:rPr>
              <w:t>значенням</w:t>
            </w:r>
            <w:r w:rsidRPr="00F07995">
              <w:rPr>
                <w:b/>
                <w:sz w:val="28"/>
                <w:szCs w:val="28"/>
                <w:lang w:val="uk-UA"/>
              </w:rPr>
              <w:t xml:space="preserve"> </w:t>
            </w:r>
            <w:r w:rsidR="007B137B" w:rsidRPr="00F07995">
              <w:rPr>
                <w:b/>
                <w:sz w:val="28"/>
                <w:szCs w:val="28"/>
                <w:lang w:val="uk-UA"/>
              </w:rPr>
              <w:t>0,1</w:t>
            </w:r>
            <w:r w:rsidRPr="00F07995">
              <w:rPr>
                <w:b/>
                <w:sz w:val="28"/>
                <w:szCs w:val="28"/>
                <w:lang w:val="uk-UA"/>
              </w:rPr>
              <w:t>.</w:t>
            </w:r>
            <w:r w:rsidRPr="00F07995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3A12B6" w:rsidRPr="00F07995" w:rsidTr="003A12B6">
        <w:trPr>
          <w:jc w:val="center"/>
        </w:trPr>
        <w:tc>
          <w:tcPr>
            <w:tcW w:w="7281" w:type="dxa"/>
          </w:tcPr>
          <w:p w:rsidR="003A12B6" w:rsidRPr="00F07995" w:rsidRDefault="003A12B6" w:rsidP="00A27F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25" w:name="n3157"/>
            <w:bookmarkEnd w:id="25"/>
            <w:r w:rsidRPr="00F07995">
              <w:rPr>
                <w:sz w:val="28"/>
                <w:szCs w:val="28"/>
                <w:lang w:val="uk-UA"/>
              </w:rPr>
              <w:lastRenderedPageBreak/>
              <w:t>Індекс податкоспроможності відповідного зведеного бюджету області є коефіцієнтом, що визначає рівень податкоспроможності зведеного бюджету такої області порівняно з аналогічним середнім показником зведених бюджетів областей у розрахунку на одну людину.</w:t>
            </w:r>
          </w:p>
        </w:tc>
        <w:tc>
          <w:tcPr>
            <w:tcW w:w="7280" w:type="dxa"/>
          </w:tcPr>
          <w:p w:rsidR="003A12B6" w:rsidRPr="00F07995" w:rsidRDefault="003A12B6" w:rsidP="003A12B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 xml:space="preserve">Індекс податкоспроможності відповідного зведеного бюджету області </w:t>
            </w:r>
            <w:r w:rsidRPr="00F07995">
              <w:rPr>
                <w:b/>
                <w:sz w:val="28"/>
                <w:szCs w:val="28"/>
                <w:lang w:val="uk-UA"/>
              </w:rPr>
              <w:t>(бюджету територіального громади)</w:t>
            </w:r>
            <w:r w:rsidRPr="00F07995">
              <w:rPr>
                <w:sz w:val="28"/>
                <w:szCs w:val="28"/>
                <w:lang w:val="uk-UA"/>
              </w:rPr>
              <w:t xml:space="preserve"> є коефіцієнтом, що визначає рівень податкоспроможності зведеного бюджету такої області </w:t>
            </w:r>
            <w:r w:rsidRPr="00F07995">
              <w:rPr>
                <w:b/>
                <w:sz w:val="28"/>
                <w:szCs w:val="28"/>
                <w:lang w:val="uk-UA"/>
              </w:rPr>
              <w:t>(бюджету такої територіальної громади)</w:t>
            </w:r>
            <w:r w:rsidRPr="00F07995">
              <w:rPr>
                <w:sz w:val="28"/>
                <w:szCs w:val="28"/>
                <w:lang w:val="uk-UA"/>
              </w:rPr>
              <w:t xml:space="preserve"> порівняно з аналогічним середнім показником зведених бюджетів областей </w:t>
            </w:r>
            <w:r w:rsidRPr="00F07995">
              <w:rPr>
                <w:b/>
                <w:sz w:val="28"/>
                <w:szCs w:val="28"/>
                <w:lang w:val="uk-UA"/>
              </w:rPr>
              <w:t>(бюджетів територіальних громад)</w:t>
            </w:r>
            <w:r w:rsidRPr="00F07995">
              <w:rPr>
                <w:sz w:val="28"/>
                <w:szCs w:val="28"/>
                <w:lang w:val="uk-UA"/>
              </w:rPr>
              <w:t xml:space="preserve"> у розрахунку на одну людину.</w:t>
            </w:r>
          </w:p>
        </w:tc>
      </w:tr>
      <w:tr w:rsidR="003A12B6" w:rsidRPr="00F07995" w:rsidTr="003A12B6">
        <w:trPr>
          <w:jc w:val="center"/>
        </w:trPr>
        <w:tc>
          <w:tcPr>
            <w:tcW w:w="7281" w:type="dxa"/>
          </w:tcPr>
          <w:p w:rsidR="003A12B6" w:rsidRPr="00F07995" w:rsidRDefault="003A12B6" w:rsidP="003A12B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lang w:val="uk-UA"/>
              </w:rPr>
            </w:pPr>
            <w:r w:rsidRPr="00F07995">
              <w:rPr>
                <w:sz w:val="28"/>
                <w:szCs w:val="28"/>
                <w:lang w:val="uk-UA"/>
              </w:rPr>
              <w:t xml:space="preserve">5. Розподіл додаткової дотації на здійснення переданих з державного бюджету видатків з утримання закладів освіти та охорони здоров’я здійснюється між місцевими бюджетами у порядку, визначеному обласними державними адміністраціями, за погодженням з Кабінетом Міністрів України та затверджується рішенням про обласний бюджет. </w:t>
            </w:r>
          </w:p>
        </w:tc>
        <w:tc>
          <w:tcPr>
            <w:tcW w:w="7280" w:type="dxa"/>
          </w:tcPr>
          <w:p w:rsidR="003A12B6" w:rsidRPr="00F07995" w:rsidRDefault="003A12B6" w:rsidP="003A12B6">
            <w:pPr>
              <w:shd w:val="clear" w:color="auto" w:fill="FFFFFF"/>
              <w:spacing w:after="120"/>
              <w:ind w:firstLine="450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07995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Виключити </w:t>
            </w:r>
          </w:p>
        </w:tc>
      </w:tr>
    </w:tbl>
    <w:p w:rsidR="006B4F0F" w:rsidRPr="00F07995" w:rsidRDefault="006B4F0F" w:rsidP="006B4F0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63BA4" w:rsidRPr="00F07995" w:rsidRDefault="00863BA4" w:rsidP="006B4F0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AB603D" w:rsidRPr="009551AF" w:rsidRDefault="00AB603D" w:rsidP="00863BA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07995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  <w:r w:rsidRPr="00F07995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 w:rsidR="00194F7E" w:rsidRPr="00F07995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="00092023" w:rsidRPr="00F07995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092023" w:rsidRPr="00F07995">
        <w:rPr>
          <w:rFonts w:ascii="Times New Roman" w:hAnsi="Times New Roman"/>
          <w:b/>
          <w:sz w:val="28"/>
          <w:szCs w:val="28"/>
          <w:lang w:val="uk-UA"/>
        </w:rPr>
        <w:t>О.С. Пасічний</w:t>
      </w:r>
      <w:r w:rsidR="00092023" w:rsidRPr="009551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sectPr w:rsidR="00AB603D" w:rsidRPr="009551AF" w:rsidSect="003A12B6">
      <w:headerReference w:type="even" r:id="rId44"/>
      <w:headerReference w:type="default" r:id="rId45"/>
      <w:footerReference w:type="default" r:id="rId46"/>
      <w:pgSz w:w="16838" w:h="11906" w:orient="landscape" w:code="9"/>
      <w:pgMar w:top="850" w:right="850" w:bottom="850" w:left="1417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1F3" w:rsidRDefault="002331F3" w:rsidP="001F4906">
      <w:r>
        <w:separator/>
      </w:r>
    </w:p>
  </w:endnote>
  <w:endnote w:type="continuationSeparator" w:id="0">
    <w:p w:rsidR="002331F3" w:rsidRDefault="002331F3" w:rsidP="001F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4"/>
        <w:szCs w:val="24"/>
      </w:rPr>
      <w:id w:val="21174793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B3096" w:rsidRPr="00863BA4" w:rsidRDefault="00FB3096">
        <w:pPr>
          <w:pStyle w:val="a8"/>
          <w:jc w:val="right"/>
          <w:rPr>
            <w:rFonts w:ascii="Times New Roman" w:hAnsi="Times New Roman"/>
            <w:sz w:val="24"/>
            <w:szCs w:val="24"/>
          </w:rPr>
        </w:pPr>
        <w:r w:rsidRPr="00863BA4">
          <w:rPr>
            <w:rFonts w:ascii="Times New Roman" w:hAnsi="Times New Roman"/>
            <w:sz w:val="24"/>
            <w:szCs w:val="24"/>
          </w:rPr>
          <w:fldChar w:fldCharType="begin"/>
        </w:r>
        <w:r w:rsidRPr="00863BA4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863BA4">
          <w:rPr>
            <w:rFonts w:ascii="Times New Roman" w:hAnsi="Times New Roman"/>
            <w:sz w:val="24"/>
            <w:szCs w:val="24"/>
          </w:rPr>
          <w:fldChar w:fldCharType="separate"/>
        </w:r>
        <w:r w:rsidR="00597470">
          <w:rPr>
            <w:rFonts w:ascii="Times New Roman" w:hAnsi="Times New Roman"/>
            <w:noProof/>
            <w:sz w:val="24"/>
            <w:szCs w:val="24"/>
          </w:rPr>
          <w:t>2</w:t>
        </w:r>
        <w:r w:rsidRPr="00863BA4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1F3" w:rsidRDefault="002331F3" w:rsidP="001F4906">
      <w:r>
        <w:separator/>
      </w:r>
    </w:p>
  </w:footnote>
  <w:footnote w:type="continuationSeparator" w:id="0">
    <w:p w:rsidR="002331F3" w:rsidRDefault="002331F3" w:rsidP="001F4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96" w:rsidRDefault="00FB309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B3096" w:rsidRDefault="00FB309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96" w:rsidRPr="00863BA4" w:rsidRDefault="00FB3096">
    <w:pPr>
      <w:pStyle w:val="aa"/>
      <w:jc w:val="right"/>
      <w:rPr>
        <w:rFonts w:ascii="Times New Roman" w:hAnsi="Times New Roman"/>
        <w:sz w:val="24"/>
        <w:szCs w:val="24"/>
      </w:rPr>
    </w:pPr>
  </w:p>
  <w:p w:rsidR="00FB3096" w:rsidRPr="00863BA4" w:rsidRDefault="00FB3096">
    <w:pPr>
      <w:pStyle w:val="aa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6812"/>
    <w:multiLevelType w:val="hybridMultilevel"/>
    <w:tmpl w:val="69DCB47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A25352"/>
    <w:multiLevelType w:val="hybridMultilevel"/>
    <w:tmpl w:val="18CA7DA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C717F8"/>
    <w:multiLevelType w:val="hybridMultilevel"/>
    <w:tmpl w:val="E11689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7E4A86"/>
    <w:multiLevelType w:val="hybridMultilevel"/>
    <w:tmpl w:val="4C2CA57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560FBD"/>
    <w:multiLevelType w:val="hybridMultilevel"/>
    <w:tmpl w:val="A64AF374"/>
    <w:lvl w:ilvl="0" w:tplc="3056CE9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2EC6313"/>
    <w:multiLevelType w:val="hybridMultilevel"/>
    <w:tmpl w:val="74C4041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4840296"/>
    <w:multiLevelType w:val="hybridMultilevel"/>
    <w:tmpl w:val="52BA06C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974CDA"/>
    <w:multiLevelType w:val="hybridMultilevel"/>
    <w:tmpl w:val="9F3434A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4777045"/>
    <w:multiLevelType w:val="hybridMultilevel"/>
    <w:tmpl w:val="9F3434A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BCD4057"/>
    <w:multiLevelType w:val="hybridMultilevel"/>
    <w:tmpl w:val="E11689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C5D4511"/>
    <w:multiLevelType w:val="hybridMultilevel"/>
    <w:tmpl w:val="6AD85B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3"/>
  </w:num>
  <w:num w:numId="8">
    <w:abstractNumId w:val="6"/>
  </w:num>
  <w:num w:numId="9">
    <w:abstractNumId w:val="10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3BF"/>
    <w:rsid w:val="000068EF"/>
    <w:rsid w:val="00010447"/>
    <w:rsid w:val="00011C54"/>
    <w:rsid w:val="000473A8"/>
    <w:rsid w:val="00060BAA"/>
    <w:rsid w:val="00092023"/>
    <w:rsid w:val="00094EBF"/>
    <w:rsid w:val="00095624"/>
    <w:rsid w:val="000A1957"/>
    <w:rsid w:val="000A30AA"/>
    <w:rsid w:val="000B5F13"/>
    <w:rsid w:val="000D1C98"/>
    <w:rsid w:val="000D2B59"/>
    <w:rsid w:val="000E2E9D"/>
    <w:rsid w:val="000F3FB3"/>
    <w:rsid w:val="000F54C0"/>
    <w:rsid w:val="0010141D"/>
    <w:rsid w:val="001109A6"/>
    <w:rsid w:val="00110BA4"/>
    <w:rsid w:val="00137B4E"/>
    <w:rsid w:val="00157EC9"/>
    <w:rsid w:val="001604BC"/>
    <w:rsid w:val="00161ED6"/>
    <w:rsid w:val="001852EE"/>
    <w:rsid w:val="001878B8"/>
    <w:rsid w:val="001902F9"/>
    <w:rsid w:val="001946CA"/>
    <w:rsid w:val="00194F7E"/>
    <w:rsid w:val="001A13CF"/>
    <w:rsid w:val="001A6766"/>
    <w:rsid w:val="001B1AC6"/>
    <w:rsid w:val="001B67FD"/>
    <w:rsid w:val="001C03F8"/>
    <w:rsid w:val="001C04A9"/>
    <w:rsid w:val="001D1962"/>
    <w:rsid w:val="001D2D40"/>
    <w:rsid w:val="001E2202"/>
    <w:rsid w:val="001F22BB"/>
    <w:rsid w:val="001F4906"/>
    <w:rsid w:val="00205B83"/>
    <w:rsid w:val="002067D3"/>
    <w:rsid w:val="002310B7"/>
    <w:rsid w:val="002331F3"/>
    <w:rsid w:val="00250350"/>
    <w:rsid w:val="00265CA6"/>
    <w:rsid w:val="00275F14"/>
    <w:rsid w:val="00280D30"/>
    <w:rsid w:val="00283D6C"/>
    <w:rsid w:val="002B4883"/>
    <w:rsid w:val="002B53D3"/>
    <w:rsid w:val="002C4450"/>
    <w:rsid w:val="002D1EE1"/>
    <w:rsid w:val="002F2427"/>
    <w:rsid w:val="002F67B9"/>
    <w:rsid w:val="00305525"/>
    <w:rsid w:val="00310285"/>
    <w:rsid w:val="00337D08"/>
    <w:rsid w:val="00363E4A"/>
    <w:rsid w:val="003713C4"/>
    <w:rsid w:val="0037313A"/>
    <w:rsid w:val="00391612"/>
    <w:rsid w:val="00393F03"/>
    <w:rsid w:val="00395EA9"/>
    <w:rsid w:val="003A09FE"/>
    <w:rsid w:val="003A12B6"/>
    <w:rsid w:val="003B3C2C"/>
    <w:rsid w:val="003D0848"/>
    <w:rsid w:val="003D5523"/>
    <w:rsid w:val="0040062C"/>
    <w:rsid w:val="004052A4"/>
    <w:rsid w:val="00405D8B"/>
    <w:rsid w:val="00407BA2"/>
    <w:rsid w:val="00412673"/>
    <w:rsid w:val="00425D0E"/>
    <w:rsid w:val="004304FC"/>
    <w:rsid w:val="00442A3F"/>
    <w:rsid w:val="0044405D"/>
    <w:rsid w:val="004710DB"/>
    <w:rsid w:val="00475E9C"/>
    <w:rsid w:val="0048213F"/>
    <w:rsid w:val="004923BF"/>
    <w:rsid w:val="004926A1"/>
    <w:rsid w:val="00493A3C"/>
    <w:rsid w:val="00493F7B"/>
    <w:rsid w:val="0049516A"/>
    <w:rsid w:val="004B397D"/>
    <w:rsid w:val="004B500B"/>
    <w:rsid w:val="004C6B65"/>
    <w:rsid w:val="004D5E1A"/>
    <w:rsid w:val="004E1724"/>
    <w:rsid w:val="004E18A4"/>
    <w:rsid w:val="004E585A"/>
    <w:rsid w:val="004F1910"/>
    <w:rsid w:val="004F2810"/>
    <w:rsid w:val="00501DCD"/>
    <w:rsid w:val="005567FB"/>
    <w:rsid w:val="00560AA8"/>
    <w:rsid w:val="005751F5"/>
    <w:rsid w:val="00587F7A"/>
    <w:rsid w:val="00597470"/>
    <w:rsid w:val="005A3E3D"/>
    <w:rsid w:val="005C328E"/>
    <w:rsid w:val="005C377F"/>
    <w:rsid w:val="005D7BA8"/>
    <w:rsid w:val="005E32EB"/>
    <w:rsid w:val="005E362D"/>
    <w:rsid w:val="005E50DF"/>
    <w:rsid w:val="005F2DD8"/>
    <w:rsid w:val="00605706"/>
    <w:rsid w:val="006106AA"/>
    <w:rsid w:val="00640007"/>
    <w:rsid w:val="00641EAA"/>
    <w:rsid w:val="006460B8"/>
    <w:rsid w:val="00651507"/>
    <w:rsid w:val="00665977"/>
    <w:rsid w:val="00673BE1"/>
    <w:rsid w:val="006A5B5A"/>
    <w:rsid w:val="006B3978"/>
    <w:rsid w:val="006B4F0F"/>
    <w:rsid w:val="006C4A3D"/>
    <w:rsid w:val="006E1E90"/>
    <w:rsid w:val="00700454"/>
    <w:rsid w:val="00723D90"/>
    <w:rsid w:val="0072599B"/>
    <w:rsid w:val="0073483A"/>
    <w:rsid w:val="007543B9"/>
    <w:rsid w:val="00796BD7"/>
    <w:rsid w:val="007B137B"/>
    <w:rsid w:val="007D0EB6"/>
    <w:rsid w:val="007E78EE"/>
    <w:rsid w:val="00807215"/>
    <w:rsid w:val="00807F79"/>
    <w:rsid w:val="00822C89"/>
    <w:rsid w:val="00861248"/>
    <w:rsid w:val="00863BA4"/>
    <w:rsid w:val="0086565B"/>
    <w:rsid w:val="00866DF6"/>
    <w:rsid w:val="00873985"/>
    <w:rsid w:val="0088780B"/>
    <w:rsid w:val="008A2C0E"/>
    <w:rsid w:val="008A5BF4"/>
    <w:rsid w:val="008B4596"/>
    <w:rsid w:val="008C2C99"/>
    <w:rsid w:val="008E6BB2"/>
    <w:rsid w:val="008F692C"/>
    <w:rsid w:val="00923A53"/>
    <w:rsid w:val="00930AA8"/>
    <w:rsid w:val="00940EA4"/>
    <w:rsid w:val="009551AF"/>
    <w:rsid w:val="0096220C"/>
    <w:rsid w:val="00966A76"/>
    <w:rsid w:val="00967C39"/>
    <w:rsid w:val="00971EA0"/>
    <w:rsid w:val="00977B42"/>
    <w:rsid w:val="009A0760"/>
    <w:rsid w:val="009A33C8"/>
    <w:rsid w:val="00A11D21"/>
    <w:rsid w:val="00A1380A"/>
    <w:rsid w:val="00A27017"/>
    <w:rsid w:val="00A27F46"/>
    <w:rsid w:val="00A35DD7"/>
    <w:rsid w:val="00A4640F"/>
    <w:rsid w:val="00A5535F"/>
    <w:rsid w:val="00A71386"/>
    <w:rsid w:val="00A83374"/>
    <w:rsid w:val="00AA4BF2"/>
    <w:rsid w:val="00AB0663"/>
    <w:rsid w:val="00AB603D"/>
    <w:rsid w:val="00AC00E5"/>
    <w:rsid w:val="00AC0FB3"/>
    <w:rsid w:val="00B05554"/>
    <w:rsid w:val="00B0713F"/>
    <w:rsid w:val="00B20EBA"/>
    <w:rsid w:val="00B23569"/>
    <w:rsid w:val="00B30B0B"/>
    <w:rsid w:val="00B4679D"/>
    <w:rsid w:val="00B56913"/>
    <w:rsid w:val="00B6445E"/>
    <w:rsid w:val="00B7157F"/>
    <w:rsid w:val="00B877A5"/>
    <w:rsid w:val="00B946B9"/>
    <w:rsid w:val="00BA1E62"/>
    <w:rsid w:val="00BB0AC5"/>
    <w:rsid w:val="00BB5459"/>
    <w:rsid w:val="00BC346F"/>
    <w:rsid w:val="00BF2CEB"/>
    <w:rsid w:val="00C02C4E"/>
    <w:rsid w:val="00C04574"/>
    <w:rsid w:val="00C04C9C"/>
    <w:rsid w:val="00C15824"/>
    <w:rsid w:val="00C23FF1"/>
    <w:rsid w:val="00C302A1"/>
    <w:rsid w:val="00C31117"/>
    <w:rsid w:val="00C42AE1"/>
    <w:rsid w:val="00C7059D"/>
    <w:rsid w:val="00C75FC3"/>
    <w:rsid w:val="00C82A5B"/>
    <w:rsid w:val="00C915E5"/>
    <w:rsid w:val="00C93391"/>
    <w:rsid w:val="00C959DE"/>
    <w:rsid w:val="00CA480F"/>
    <w:rsid w:val="00CB65CB"/>
    <w:rsid w:val="00CC05DE"/>
    <w:rsid w:val="00CC228C"/>
    <w:rsid w:val="00D15825"/>
    <w:rsid w:val="00D15D55"/>
    <w:rsid w:val="00D23B39"/>
    <w:rsid w:val="00D25B45"/>
    <w:rsid w:val="00D46668"/>
    <w:rsid w:val="00D578A7"/>
    <w:rsid w:val="00D62E66"/>
    <w:rsid w:val="00D63979"/>
    <w:rsid w:val="00D72143"/>
    <w:rsid w:val="00D74B72"/>
    <w:rsid w:val="00D9502C"/>
    <w:rsid w:val="00DA2828"/>
    <w:rsid w:val="00DB0058"/>
    <w:rsid w:val="00DB0A05"/>
    <w:rsid w:val="00DD4A16"/>
    <w:rsid w:val="00DD598F"/>
    <w:rsid w:val="00DE7353"/>
    <w:rsid w:val="00E13AF0"/>
    <w:rsid w:val="00E21DCD"/>
    <w:rsid w:val="00E540BA"/>
    <w:rsid w:val="00E661C7"/>
    <w:rsid w:val="00E701A6"/>
    <w:rsid w:val="00E7437E"/>
    <w:rsid w:val="00E77D3A"/>
    <w:rsid w:val="00E87306"/>
    <w:rsid w:val="00EA257F"/>
    <w:rsid w:val="00EB0360"/>
    <w:rsid w:val="00EB273D"/>
    <w:rsid w:val="00EC1D66"/>
    <w:rsid w:val="00EC48D0"/>
    <w:rsid w:val="00ED444B"/>
    <w:rsid w:val="00ED53DE"/>
    <w:rsid w:val="00ED6D7D"/>
    <w:rsid w:val="00EE7FF2"/>
    <w:rsid w:val="00F07995"/>
    <w:rsid w:val="00F204BE"/>
    <w:rsid w:val="00F218A9"/>
    <w:rsid w:val="00F30EC6"/>
    <w:rsid w:val="00F34831"/>
    <w:rsid w:val="00F35BD9"/>
    <w:rsid w:val="00F4530A"/>
    <w:rsid w:val="00F51E49"/>
    <w:rsid w:val="00F63A63"/>
    <w:rsid w:val="00F640F7"/>
    <w:rsid w:val="00F64F69"/>
    <w:rsid w:val="00F95FC8"/>
    <w:rsid w:val="00F95FE4"/>
    <w:rsid w:val="00FB3096"/>
    <w:rsid w:val="00FC62A6"/>
    <w:rsid w:val="00FE2E68"/>
    <w:rsid w:val="00FE35C3"/>
    <w:rsid w:val="00FF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141388-6BDA-4483-BE79-0F35D279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906"/>
    <w:pPr>
      <w:widowControl w:val="0"/>
      <w:adjustRightInd w:val="0"/>
      <w:spacing w:after="0" w:line="240" w:lineRule="auto"/>
      <w:jc w:val="both"/>
      <w:textAlignment w:val="baseline"/>
    </w:pPr>
    <w:rPr>
      <w:rFonts w:ascii="Antiqua" w:hAnsi="Antiqua" w:cs="Times New Roman"/>
      <w:sz w:val="26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1F4906"/>
    <w:pPr>
      <w:spacing w:before="120"/>
      <w:ind w:firstLine="567"/>
    </w:pPr>
  </w:style>
  <w:style w:type="paragraph" w:customStyle="1" w:styleId="a5">
    <w:name w:val="Установа"/>
    <w:basedOn w:val="a"/>
    <w:rsid w:val="001F4906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1F4906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uiPriority w:val="99"/>
    <w:rsid w:val="001F4906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link w:val="a9"/>
    <w:uiPriority w:val="99"/>
    <w:rsid w:val="001F4906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1F4906"/>
    <w:rPr>
      <w:rFonts w:ascii="Antiqua" w:hAnsi="Antiqua" w:cs="Times New Roman"/>
      <w:sz w:val="20"/>
      <w:szCs w:val="20"/>
      <w:lang w:val="x-none" w:eastAsia="ru-RU"/>
    </w:rPr>
  </w:style>
  <w:style w:type="paragraph" w:styleId="aa">
    <w:name w:val="header"/>
    <w:basedOn w:val="a"/>
    <w:link w:val="ab"/>
    <w:uiPriority w:val="99"/>
    <w:rsid w:val="001F4906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1F4906"/>
    <w:rPr>
      <w:rFonts w:ascii="Antiqua" w:hAnsi="Antiqua" w:cs="Times New Roman"/>
      <w:sz w:val="20"/>
      <w:szCs w:val="20"/>
      <w:lang w:val="x-none" w:eastAsia="ru-RU"/>
    </w:rPr>
  </w:style>
  <w:style w:type="character" w:styleId="ac">
    <w:name w:val="Hyperlink"/>
    <w:basedOn w:val="a0"/>
    <w:uiPriority w:val="99"/>
    <w:semiHidden/>
    <w:unhideWhenUsed/>
    <w:rsid w:val="001F4906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1F4906"/>
  </w:style>
  <w:style w:type="character" w:customStyle="1" w:styleId="rvts46">
    <w:name w:val="rvts46"/>
    <w:rsid w:val="001F4906"/>
  </w:style>
  <w:style w:type="character" w:customStyle="1" w:styleId="rvts11">
    <w:name w:val="rvts11"/>
    <w:rsid w:val="001F4906"/>
  </w:style>
  <w:style w:type="paragraph" w:styleId="HTML">
    <w:name w:val="HTML Preformatted"/>
    <w:basedOn w:val="a"/>
    <w:link w:val="HTML0"/>
    <w:uiPriority w:val="99"/>
    <w:unhideWhenUsed/>
    <w:rsid w:val="001F49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F4906"/>
    <w:rPr>
      <w:rFonts w:ascii="Courier New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1F4906"/>
    <w:rPr>
      <w:rFonts w:ascii="Tahoma" w:hAnsi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1F4906"/>
    <w:rPr>
      <w:rFonts w:ascii="Tahoma" w:hAnsi="Tahoma" w:cs="Times New Roman"/>
      <w:sz w:val="16"/>
      <w:szCs w:val="16"/>
      <w:lang w:val="x-none" w:eastAsia="ru-RU"/>
    </w:rPr>
  </w:style>
  <w:style w:type="character" w:customStyle="1" w:styleId="rvts9">
    <w:name w:val="rvts9"/>
    <w:rsid w:val="001F4906"/>
  </w:style>
  <w:style w:type="character" w:customStyle="1" w:styleId="rvts15">
    <w:name w:val="rvts15"/>
    <w:rsid w:val="001F4906"/>
  </w:style>
  <w:style w:type="table" w:styleId="af">
    <w:name w:val="Table Grid"/>
    <w:basedOn w:val="a1"/>
    <w:uiPriority w:val="59"/>
    <w:rsid w:val="001F4906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1F490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f0">
    <w:name w:val="Normal (Web)"/>
    <w:basedOn w:val="a"/>
    <w:uiPriority w:val="99"/>
    <w:unhideWhenUsed/>
    <w:rsid w:val="001F490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1">
    <w:name w:val="Абзац списку1"/>
    <w:basedOn w:val="a"/>
    <w:rsid w:val="001F490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CharStyle15">
    <w:name w:val="Char Style 15"/>
    <w:link w:val="Style14"/>
    <w:locked/>
    <w:rsid w:val="001F4906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1F4906"/>
    <w:pPr>
      <w:shd w:val="clear" w:color="auto" w:fill="FFFFFF"/>
      <w:spacing w:after="300" w:line="240" w:lineRule="atLeast"/>
    </w:pPr>
    <w:rPr>
      <w:rFonts w:asciiTheme="minorHAnsi" w:hAnsiTheme="minorHAnsi"/>
      <w:sz w:val="27"/>
      <w:szCs w:val="22"/>
      <w:lang w:eastAsia="en-US"/>
    </w:rPr>
  </w:style>
  <w:style w:type="character" w:customStyle="1" w:styleId="a4">
    <w:name w:val="Нормальний текст Знак"/>
    <w:link w:val="a3"/>
    <w:uiPriority w:val="99"/>
    <w:locked/>
    <w:rsid w:val="001F4906"/>
    <w:rPr>
      <w:rFonts w:ascii="Antiqua" w:hAnsi="Antiqua"/>
      <w:sz w:val="20"/>
      <w:lang w:val="x-none" w:eastAsia="ru-RU"/>
    </w:rPr>
  </w:style>
  <w:style w:type="character" w:customStyle="1" w:styleId="2">
    <w:name w:val="Основной текст (2) + Полужирный"/>
    <w:basedOn w:val="a0"/>
    <w:rsid w:val="00E8730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uk-UA" w:eastAsia="uk-UA"/>
    </w:rPr>
  </w:style>
  <w:style w:type="paragraph" w:styleId="af1">
    <w:name w:val="List Paragraph"/>
    <w:basedOn w:val="a"/>
    <w:uiPriority w:val="34"/>
    <w:qFormat/>
    <w:rsid w:val="00E87306"/>
    <w:pPr>
      <w:ind w:left="720"/>
      <w:contextualSpacing/>
    </w:pPr>
  </w:style>
  <w:style w:type="character" w:customStyle="1" w:styleId="rvts37">
    <w:name w:val="rvts37"/>
    <w:basedOn w:val="a0"/>
    <w:rsid w:val="007E78EE"/>
    <w:rPr>
      <w:rFonts w:cs="Times New Roman"/>
    </w:rPr>
  </w:style>
  <w:style w:type="paragraph" w:customStyle="1" w:styleId="rvps7">
    <w:name w:val="rvps7"/>
    <w:basedOn w:val="a"/>
    <w:rsid w:val="004E585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f2">
    <w:name w:val="annotation reference"/>
    <w:basedOn w:val="a0"/>
    <w:uiPriority w:val="99"/>
    <w:semiHidden/>
    <w:unhideWhenUsed/>
    <w:rsid w:val="00F204B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204BE"/>
    <w:rPr>
      <w:sz w:val="20"/>
    </w:rPr>
  </w:style>
  <w:style w:type="character" w:customStyle="1" w:styleId="af4">
    <w:name w:val="Текст примітки Знак"/>
    <w:basedOn w:val="a0"/>
    <w:link w:val="af3"/>
    <w:uiPriority w:val="99"/>
    <w:semiHidden/>
    <w:rsid w:val="00F204BE"/>
    <w:rPr>
      <w:rFonts w:ascii="Antiqua" w:hAnsi="Antiqua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204BE"/>
    <w:rPr>
      <w:b/>
      <w:bCs/>
    </w:rPr>
  </w:style>
  <w:style w:type="character" w:customStyle="1" w:styleId="af6">
    <w:name w:val="Тема примітки Знак"/>
    <w:basedOn w:val="af4"/>
    <w:link w:val="af5"/>
    <w:uiPriority w:val="99"/>
    <w:semiHidden/>
    <w:rsid w:val="00F204BE"/>
    <w:rPr>
      <w:rFonts w:ascii="Antiqua" w:hAnsi="Antiqua" w:cs="Times New Roman"/>
      <w:b/>
      <w:bCs/>
      <w:sz w:val="20"/>
      <w:szCs w:val="20"/>
      <w:lang w:eastAsia="ru-RU"/>
    </w:rPr>
  </w:style>
  <w:style w:type="character" w:customStyle="1" w:styleId="CharStyle5">
    <w:name w:val="Char Style 5"/>
    <w:link w:val="Style4"/>
    <w:locked/>
    <w:rsid w:val="00F204BE"/>
    <w:rPr>
      <w:sz w:val="27"/>
      <w:shd w:val="clear" w:color="auto" w:fill="FFFFFF"/>
    </w:rPr>
  </w:style>
  <w:style w:type="paragraph" w:customStyle="1" w:styleId="Style4">
    <w:name w:val="Style 4"/>
    <w:basedOn w:val="a"/>
    <w:link w:val="CharStyle5"/>
    <w:rsid w:val="00F204BE"/>
    <w:pPr>
      <w:shd w:val="clear" w:color="auto" w:fill="FFFFFF"/>
      <w:spacing w:after="300" w:line="240" w:lineRule="atLeast"/>
    </w:pPr>
    <w:rPr>
      <w:rFonts w:asciiTheme="minorHAnsi" w:hAnsiTheme="minorHAnsi" w:cstheme="minorHAnsi"/>
      <w:sz w:val="27"/>
      <w:szCs w:val="22"/>
      <w:shd w:val="clear" w:color="auto" w:fill="FFFFFF"/>
      <w:lang w:eastAsia="en-US"/>
    </w:rPr>
  </w:style>
  <w:style w:type="character" w:styleId="af7">
    <w:name w:val="FollowedHyperlink"/>
    <w:basedOn w:val="a0"/>
    <w:uiPriority w:val="99"/>
    <w:semiHidden/>
    <w:unhideWhenUsed/>
    <w:rsid w:val="004440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27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2629-19" TargetMode="External"/><Relationship Id="rId18" Type="http://schemas.openxmlformats.org/officeDocument/2006/relationships/hyperlink" Target="https://zakon.rada.gov.ua/laws/show/294-20" TargetMode="External"/><Relationship Id="rId26" Type="http://schemas.openxmlformats.org/officeDocument/2006/relationships/hyperlink" Target="https://zakon.rada.gov.ua/laws/show/196-2015-%D0%BF" TargetMode="External"/><Relationship Id="rId39" Type="http://schemas.openxmlformats.org/officeDocument/2006/relationships/hyperlink" Target="https://zakon.rada.gov.ua/laws/show/2456-17" TargetMode="External"/><Relationship Id="rId21" Type="http://schemas.openxmlformats.org/officeDocument/2006/relationships/hyperlink" Target="https://zakon.rada.gov.ua/laws/show/1801-19" TargetMode="External"/><Relationship Id="rId34" Type="http://schemas.openxmlformats.org/officeDocument/2006/relationships/hyperlink" Target="https://zakon.rada.gov.ua/laws/show/2456-17" TargetMode="External"/><Relationship Id="rId42" Type="http://schemas.openxmlformats.org/officeDocument/2006/relationships/hyperlink" Target="https://zakon.rada.gov.ua/laws/show/2456-17" TargetMode="External"/><Relationship Id="rId47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928-19" TargetMode="External"/><Relationship Id="rId29" Type="http://schemas.openxmlformats.org/officeDocument/2006/relationships/hyperlink" Target="https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1082-20" TargetMode="External"/><Relationship Id="rId24" Type="http://schemas.openxmlformats.org/officeDocument/2006/relationships/hyperlink" Target="https://zakon.rada.gov.ua/laws/show/196-2015-%D0%BF" TargetMode="External"/><Relationship Id="rId32" Type="http://schemas.openxmlformats.org/officeDocument/2006/relationships/hyperlink" Target="https://zakon.rada.gov.ua/laws/show/2456-17" TargetMode="External"/><Relationship Id="rId37" Type="http://schemas.openxmlformats.org/officeDocument/2006/relationships/hyperlink" Target="https://zakon.rada.gov.ua/laws/show/2456-17" TargetMode="External"/><Relationship Id="rId40" Type="http://schemas.openxmlformats.org/officeDocument/2006/relationships/hyperlink" Target="https://zakon.rada.gov.ua/laws/show/2456-17" TargetMode="External"/><Relationship Id="rId45" Type="http://schemas.openxmlformats.org/officeDocument/2006/relationships/header" Target="header2.xm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1801-19" TargetMode="External"/><Relationship Id="rId23" Type="http://schemas.openxmlformats.org/officeDocument/2006/relationships/hyperlink" Target="https://zakon.rada.gov.ua/laws/show/385-2014-%D0%BF" TargetMode="External"/><Relationship Id="rId28" Type="http://schemas.openxmlformats.org/officeDocument/2006/relationships/hyperlink" Target="https://zakon.rada.gov.ua/laws/show/2456-17" TargetMode="External"/><Relationship Id="rId36" Type="http://schemas.openxmlformats.org/officeDocument/2006/relationships/hyperlink" Target="https://zakon.rada.gov.ua/laws/show/2456-17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zakon.rada.gov.ua/laws/show/2629-19" TargetMode="External"/><Relationship Id="rId31" Type="http://schemas.openxmlformats.org/officeDocument/2006/relationships/hyperlink" Target="https://zakon.rada.gov.ua/laws/show/2456-17" TargetMode="External"/><Relationship Id="rId44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2246-19" TargetMode="External"/><Relationship Id="rId22" Type="http://schemas.openxmlformats.org/officeDocument/2006/relationships/hyperlink" Target="https://zakon.rada.gov.ua/laws/show/928-19" TargetMode="External"/><Relationship Id="rId27" Type="http://schemas.openxmlformats.org/officeDocument/2006/relationships/hyperlink" Target="https://zakon.rada.gov.ua/laws/show/196-2015-%D0%BF" TargetMode="External"/><Relationship Id="rId30" Type="http://schemas.openxmlformats.org/officeDocument/2006/relationships/hyperlink" Target="https://zakon.rada.gov.ua/laws/show/2456-17" TargetMode="External"/><Relationship Id="rId35" Type="http://schemas.openxmlformats.org/officeDocument/2006/relationships/hyperlink" Target="https://zakon.rada.gov.ua/laws/show/2456-17" TargetMode="External"/><Relationship Id="rId43" Type="http://schemas.openxmlformats.org/officeDocument/2006/relationships/hyperlink" Target="https://zakon.rada.gov.ua/laws/show/2456-17" TargetMode="External"/><Relationship Id="rId48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zakon.rada.gov.ua/laws/show/294-20" TargetMode="External"/><Relationship Id="rId17" Type="http://schemas.openxmlformats.org/officeDocument/2006/relationships/hyperlink" Target="https://zakon.rada.gov.ua/laws/show/1082-20" TargetMode="External"/><Relationship Id="rId25" Type="http://schemas.openxmlformats.org/officeDocument/2006/relationships/hyperlink" Target="https://zakon.rada.gov.ua/laws/show/196-2015-%D0%BF" TargetMode="External"/><Relationship Id="rId33" Type="http://schemas.openxmlformats.org/officeDocument/2006/relationships/hyperlink" Target="https://zakon.rada.gov.ua/laws/show/2456-17" TargetMode="External"/><Relationship Id="rId38" Type="http://schemas.openxmlformats.org/officeDocument/2006/relationships/hyperlink" Target="https://zakon.rada.gov.ua/laws/show/2456-17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zakon.rada.gov.ua/laws/show/2246-19" TargetMode="External"/><Relationship Id="rId41" Type="http://schemas.openxmlformats.org/officeDocument/2006/relationships/hyperlink" Target="https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BEF6E-BDFF-475A-B2DF-B67304B2D6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2E6287-57DC-47F0-9F48-875BF541C5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C52522-D31C-494A-A0DD-BF04556C6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1768A9-27C2-4035-8FC7-24AF79AA9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13521</Words>
  <Characters>7707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2021-03-10T13:20:00Z</dcterms:created>
  <dcterms:modified xsi:type="dcterms:W3CDTF">2021-03-10T13:20:00Z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