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07F1A" w:rsidRDefault="005B7A82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14:paraId="00000002" w14:textId="42321C34" w:rsidR="00F07F1A" w:rsidRPr="00923181" w:rsidRDefault="005B7A8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</w:t>
      </w:r>
      <w:r w:rsidR="0092318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кту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Закону України </w:t>
      </w:r>
      <w:r w:rsidR="00923181" w:rsidRPr="0092318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«Про внесення змін до Податкового кодексу України щодо стимулювання розвитку цифрової економіки в Україні»</w:t>
      </w:r>
    </w:p>
    <w:p w14:paraId="00000003" w14:textId="77777777" w:rsidR="00F07F1A" w:rsidRDefault="00F07F1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Обґрунтування необхідності прийняття акту</w:t>
      </w:r>
    </w:p>
    <w:p w14:paraId="1BBDB265" w14:textId="77777777" w:rsidR="001F15B6" w:rsidRPr="001F15B6" w:rsidRDefault="001F15B6" w:rsidP="001F15B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15B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Останні світові тенденції в умовах економічної кризи демонструють посилення конкуренції між країнами за збереження існуючого бізнесу та залучення нових іноземних і локальних інвесторів в економіку, та, відповідно, пошуки державами шляхів збереження та підвищення своєї конкурентоздатності на світовому ринку.</w:t>
      </w:r>
    </w:p>
    <w:p w14:paraId="00000005" w14:textId="39CDBEFE" w:rsidR="00F07F1A" w:rsidRPr="001F15B6" w:rsidRDefault="001F15B6" w:rsidP="001F15B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15B6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Ключову роль у сучасній світовій економіці відіграють технології та інновації. Саме представники технологічної сфери є найбільш фінансово успішними компаніями сьогодення. З огляду на це країни – члени Європейського Союзу та інші держави докладають якомога більше зусиль для стимулювання розвитку цифрової економіки.</w:t>
      </w:r>
    </w:p>
    <w:p w14:paraId="00000006" w14:textId="0CD0CA1E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Створення конкурентних умов розвитку </w:t>
      </w:r>
      <w:r w:rsidR="000648D2" w:rsidRPr="001F15B6">
        <w:rPr>
          <w:rFonts w:ascii="Times New Roman" w:eastAsia="Times New Roman" w:hAnsi="Times New Roman" w:cs="Times New Roman"/>
          <w:color w:val="000000"/>
          <w:sz w:val="28"/>
          <w:szCs w:val="28"/>
        </w:rPr>
        <w:t>цифрової економіки</w:t>
      </w:r>
      <w:r w:rsidR="000648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Україні полягає, насамперед, у вирішенні поточних проблем цієї галузі у питаннях оподаткування та оформлення трудових відносин з працівниками ІТ компаній. Наразі неконкурентне податкове навантаження витримується ІТ</w:t>
      </w:r>
      <w:r w:rsidR="000648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індустрією переважно за рахунок використання кваліфікованих фахівців, які перебувають на спрощеній системі оподаткування. Разом з тим, система єдиного податку забезпечила певний розвиток ІТ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але не забезпечила розвиток ІТ напрямків, які передбачають використання штатних працівників, таких як створення програмного забезпечення з реєстрацією інтелектуальних прав власності в Україні та напрямок досліджень та розробок. </w:t>
      </w:r>
    </w:p>
    <w:p w14:paraId="00000007" w14:textId="68D94E32" w:rsidR="00F07F1A" w:rsidRDefault="005B7A82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даними звіту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Information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technology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industry</w:t>
      </w:r>
      <w:proofErr w:type="spellEnd"/>
      <w:r>
        <w:rPr>
          <w:rFonts w:ascii="Tahoma" w:eastAsia="Tahoma" w:hAnsi="Tahoma" w:cs="Tahoma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Ukraine»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Україна </w:t>
      </w:r>
      <w:r w:rsidR="000648D2">
        <w:rPr>
          <w:rFonts w:ascii="Times New Roman" w:eastAsia="Times New Roman" w:hAnsi="Times New Roman" w:cs="Times New Roman"/>
          <w:sz w:val="28"/>
          <w:szCs w:val="28"/>
        </w:rPr>
        <w:t xml:space="preserve">знаходиться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7 місці за якістю та ефективністю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фріланс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-працівників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діджитал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-середовищі та на 24 місці у топ-55 найбільш привабливих країн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Тринадцять українських IT</w:t>
      </w:r>
      <w:r w:rsidR="000648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компаній потрапили у топ-100 постачальників послуг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аутсорсингу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EPAM,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Ciklum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ELEKS,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Luxoft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iX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Miratech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Intetics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SoftServe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Softjourn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Sigma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Software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TEAM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International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Services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Program-Ace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Softengi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157EC226" w14:textId="7473B0F2" w:rsidR="007A716E" w:rsidRPr="007A716E" w:rsidRDefault="005B7A82" w:rsidP="007A716E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716E">
        <w:rPr>
          <w:rFonts w:ascii="Times New Roman" w:eastAsia="Times New Roman" w:hAnsi="Times New Roman" w:cs="Times New Roman"/>
          <w:sz w:val="28"/>
          <w:szCs w:val="28"/>
        </w:rPr>
        <w:t xml:space="preserve">Згідно з даними платіжного балансу України, експорт </w:t>
      </w:r>
      <w:r w:rsidR="007A716E" w:rsidRPr="007A716E">
        <w:rPr>
          <w:rFonts w:ascii="Times New Roman" w:eastAsia="Times New Roman" w:hAnsi="Times New Roman" w:cs="Times New Roman"/>
          <w:sz w:val="28"/>
          <w:szCs w:val="28"/>
        </w:rPr>
        <w:t>ІТ</w:t>
      </w:r>
      <w:r w:rsidRPr="007A716E">
        <w:rPr>
          <w:rFonts w:ascii="Times New Roman" w:eastAsia="Times New Roman" w:hAnsi="Times New Roman" w:cs="Times New Roman"/>
          <w:sz w:val="28"/>
          <w:szCs w:val="28"/>
        </w:rPr>
        <w:t xml:space="preserve"> послуг у 20</w:t>
      </w:r>
      <w:r w:rsidR="007A716E" w:rsidRPr="007A716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7A716E">
        <w:rPr>
          <w:rFonts w:ascii="Times New Roman" w:eastAsia="Times New Roman" w:hAnsi="Times New Roman" w:cs="Times New Roman"/>
          <w:sz w:val="28"/>
          <w:szCs w:val="28"/>
        </w:rPr>
        <w:t xml:space="preserve"> році</w:t>
      </w:r>
      <w:r w:rsidR="007A716E" w:rsidRPr="007A716E">
        <w:rPr>
          <w:rFonts w:ascii="Times New Roman" w:eastAsia="Times New Roman" w:hAnsi="Times New Roman" w:cs="Times New Roman"/>
          <w:sz w:val="28"/>
          <w:szCs w:val="28"/>
        </w:rPr>
        <w:t xml:space="preserve"> зріс на 853 млн доларів США, тобто на понад 20% за рік, і уперше перевищив 5 млрд </w:t>
      </w:r>
      <w:r w:rsidR="007A716E">
        <w:rPr>
          <w:rFonts w:ascii="Times New Roman" w:eastAsia="Times New Roman" w:hAnsi="Times New Roman" w:cs="Times New Roman"/>
          <w:sz w:val="28"/>
          <w:szCs w:val="28"/>
        </w:rPr>
        <w:t>д</w:t>
      </w:r>
      <w:r w:rsidR="007A716E" w:rsidRPr="007A716E">
        <w:rPr>
          <w:rFonts w:ascii="Times New Roman" w:eastAsia="Times New Roman" w:hAnsi="Times New Roman" w:cs="Times New Roman"/>
          <w:sz w:val="28"/>
          <w:szCs w:val="28"/>
        </w:rPr>
        <w:t>оларів США на рік.</w:t>
      </w:r>
    </w:p>
    <w:p w14:paraId="00000009" w14:textId="4922FA02" w:rsidR="00F07F1A" w:rsidRDefault="005B7A82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Водночас</w:t>
      </w:r>
      <w:r w:rsidR="000648D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забезпечення поточних темпів росту на тлі гострої світової конкуренції за таланти потребує перегляду існуючих моделей оподаткування, що будуть адаптовані під потреби ІТ індустрії.  </w:t>
      </w:r>
    </w:p>
    <w:p w14:paraId="0000000A" w14:textId="751BE5E6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Довготривале існування складних умов ведення бізнесу для української ІТ індустрії, розвитку інноваційного і технологічного бізнесу знижує конкурентоспроможність України у порівнянні з іншими державами.</w:t>
      </w:r>
    </w:p>
    <w:p w14:paraId="0000000B" w14:textId="52D9E390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 зв</w:t>
      </w:r>
      <w:r w:rsid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язку з цим,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</w:t>
      </w:r>
      <w:r w:rsid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закладаються передумови </w:t>
      </w:r>
      <w:r w:rsid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збільшення інвестиційної привабливості України та очікується посилення конкурентоспроможності України на світовому ринку ІТ послуг.</w:t>
      </w:r>
    </w:p>
    <w:p w14:paraId="0000000C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 та завдання акту</w:t>
      </w:r>
    </w:p>
    <w:p w14:paraId="53DCE8BB" w14:textId="11F64345" w:rsidR="007A716E" w:rsidRPr="007A716E" w:rsidRDefault="007A716E" w:rsidP="007A71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Головною метою </w:t>
      </w:r>
      <w:proofErr w:type="spellStart"/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законопроєкту</w:t>
      </w:r>
      <w:proofErr w:type="spellEnd"/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формування в Україні передової цифрової економіки протягом найближчих років та зростання частки високотехнологічних продуктів та послуг у загальному ВВП країни до 10 відсотків.</w:t>
      </w:r>
    </w:p>
    <w:p w14:paraId="0000000F" w14:textId="5DF8B404" w:rsidR="00F07F1A" w:rsidRPr="007A716E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</w:t>
      </w:r>
      <w:r w:rsid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proofErr w:type="spellEnd"/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спрямований на надання податкових стимулів ІТ</w:t>
      </w:r>
      <w:r w:rsid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індустрії</w:t>
      </w:r>
      <w:r w:rsidR="005E7278"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азом </w:t>
      </w:r>
      <w:r w:rsidR="00693200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proofErr w:type="spellStart"/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7A716E"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ктом</w:t>
      </w:r>
      <w:proofErr w:type="spellEnd"/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Закону України «</w:t>
      </w:r>
      <w:r w:rsidR="007A716E"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Про стимулювання розвитку цифрової економіки в Україні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A716E"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встановлюю</w:t>
      </w:r>
      <w:r w:rsidR="005E72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 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комплексну систему заходів, необхідну для розвитку </w:t>
      </w:r>
      <w:r w:rsidR="007A716E"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цифрової економіки </w:t>
      </w:r>
      <w:r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в Україні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0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і основні положення акту</w:t>
      </w:r>
    </w:p>
    <w:p w14:paraId="42A511E1" w14:textId="77777777" w:rsidR="007E30CF" w:rsidRDefault="005B7A82" w:rsidP="005E727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5E7278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передбачається запровадження низки заходів щодо стимулювання розвитку ІТ</w:t>
      </w:r>
      <w:r w:rsidR="005E72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індустрії</w:t>
      </w:r>
      <w:r w:rsidR="005E7278">
        <w:rPr>
          <w:rFonts w:ascii="Times New Roman" w:eastAsia="Times New Roman" w:hAnsi="Times New Roman" w:cs="Times New Roman"/>
          <w:color w:val="000000"/>
          <w:sz w:val="28"/>
          <w:szCs w:val="28"/>
        </w:rPr>
        <w:t>, а саме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запровадження</w:t>
      </w:r>
      <w:r w:rsidR="007E30C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8384D42" w14:textId="4D569F31" w:rsidR="007E30CF" w:rsidRDefault="008832B4" w:rsidP="007E30CF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E30CF" w:rsidRPr="00906238">
        <w:rPr>
          <w:rFonts w:ascii="Times New Roman" w:eastAsia="Times New Roman" w:hAnsi="Times New Roman" w:cs="Times New Roman"/>
          <w:color w:val="000000"/>
          <w:sz w:val="28"/>
          <w:szCs w:val="28"/>
        </w:rPr>
        <w:t>пеціальн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</w:t>
      </w:r>
      <w:r w:rsidR="007E30CF" w:rsidRPr="00906238"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7E30CF" w:rsidRPr="00906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оподаткування резидентів Дія Сіті</w:t>
      </w:r>
      <w:r w:rsidR="007E30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7278">
        <w:rPr>
          <w:rFonts w:ascii="Times New Roman" w:eastAsia="Times New Roman" w:hAnsi="Times New Roman" w:cs="Times New Roman"/>
          <w:sz w:val="28"/>
          <w:szCs w:val="28"/>
        </w:rPr>
        <w:t xml:space="preserve">– ІТ компаній, що відповідатимуть передбаченим Законом України </w:t>
      </w:r>
      <w:r w:rsidR="005E7278"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«Про стимулювання розвитку цифрової економіки в Україні» </w:t>
      </w:r>
      <w:r w:rsidR="005E7278">
        <w:rPr>
          <w:rFonts w:ascii="Times New Roman" w:eastAsia="Times New Roman" w:hAnsi="Times New Roman" w:cs="Times New Roman"/>
          <w:sz w:val="28"/>
          <w:szCs w:val="28"/>
        </w:rPr>
        <w:t xml:space="preserve">вимогам та будуть включені до спеціального реєстру, ведення якого здійснюватиме уповноважений орган – центральний орган виконавчої влади, що забезпечує формування та реалізацію державної політики у сфері </w:t>
      </w:r>
      <w:r>
        <w:rPr>
          <w:rFonts w:ascii="Times New Roman" w:eastAsia="Times New Roman" w:hAnsi="Times New Roman" w:cs="Times New Roman"/>
          <w:sz w:val="28"/>
          <w:szCs w:val="28"/>
        </w:rPr>
        <w:t>цифрової економіки</w:t>
      </w:r>
      <w:r w:rsidR="007E30CF">
        <w:rPr>
          <w:rFonts w:ascii="Times New Roman" w:eastAsia="Times New Roman" w:hAnsi="Times New Roman" w:cs="Times New Roman"/>
          <w:sz w:val="28"/>
          <w:szCs w:val="28"/>
        </w:rPr>
        <w:t>; та</w:t>
      </w:r>
    </w:p>
    <w:p w14:paraId="105A3A99" w14:textId="7CF699DE" w:rsidR="005E7278" w:rsidRPr="007E30CF" w:rsidRDefault="007E30CF" w:rsidP="007E30CF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238">
        <w:rPr>
          <w:rFonts w:ascii="Times New Roman" w:eastAsia="Times New Roman" w:hAnsi="Times New Roman" w:cs="Times New Roman"/>
          <w:color w:val="000000"/>
          <w:sz w:val="28"/>
          <w:szCs w:val="28"/>
        </w:rPr>
        <w:t>спеціальн</w:t>
      </w:r>
      <w:r w:rsidR="008832B4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906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режим</w:t>
      </w:r>
      <w:r w:rsidR="00883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Pr="00906238">
        <w:rPr>
          <w:rFonts w:ascii="Times New Roman" w:eastAsia="Times New Roman" w:hAnsi="Times New Roman" w:cs="Times New Roman"/>
          <w:color w:val="000000"/>
          <w:sz w:val="28"/>
          <w:szCs w:val="28"/>
        </w:rPr>
        <w:t>оподаткування</w:t>
      </w:r>
      <w:r w:rsidR="005E72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2BA0">
        <w:rPr>
          <w:rFonts w:ascii="Times New Roman" w:eastAsia="Times New Roman" w:hAnsi="Times New Roman" w:cs="Times New Roman"/>
          <w:sz w:val="28"/>
          <w:szCs w:val="28"/>
        </w:rPr>
        <w:t xml:space="preserve">окремих </w:t>
      </w:r>
      <w:r w:rsidR="009516AC">
        <w:rPr>
          <w:rFonts w:ascii="Times New Roman" w:eastAsia="Times New Roman" w:hAnsi="Times New Roman" w:cs="Times New Roman"/>
          <w:color w:val="000000"/>
          <w:sz w:val="28"/>
          <w:szCs w:val="28"/>
        </w:rPr>
        <w:t>доходів</w:t>
      </w:r>
      <w:r w:rsidR="008832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працівників резидентів Дія Сіті та </w:t>
      </w:r>
      <w:r w:rsid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залучених ними </w:t>
      </w:r>
      <w:proofErr w:type="spellStart"/>
      <w:r w:rsid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гіг</w:t>
      </w:r>
      <w:proofErr w:type="spellEnd"/>
      <w:r w:rsid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-спеціалістів (фахівців, які </w:t>
      </w:r>
      <w:r w:rsidR="008C3DC6" w:rsidRPr="00507D0B">
        <w:rPr>
          <w:rFonts w:ascii="Times New Roman" w:eastAsia="Times New Roman" w:hAnsi="Times New Roman" w:cs="Times New Roman"/>
          <w:sz w:val="28"/>
          <w:szCs w:val="28"/>
        </w:rPr>
        <w:t>викон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 xml:space="preserve">ують </w:t>
      </w:r>
      <w:r w:rsidR="008C3DC6" w:rsidRPr="00507D0B">
        <w:rPr>
          <w:rFonts w:ascii="Times New Roman" w:eastAsia="Times New Roman" w:hAnsi="Times New Roman" w:cs="Times New Roman"/>
          <w:sz w:val="28"/>
          <w:szCs w:val="28"/>
        </w:rPr>
        <w:t>роб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C3DC6" w:rsidRPr="00507D0B">
        <w:rPr>
          <w:rFonts w:ascii="Times New Roman" w:eastAsia="Times New Roman" w:hAnsi="Times New Roman" w:cs="Times New Roman"/>
          <w:sz w:val="28"/>
          <w:szCs w:val="28"/>
        </w:rPr>
        <w:t>т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C3DC6" w:rsidRPr="00507D0B">
        <w:rPr>
          <w:rFonts w:ascii="Times New Roman" w:eastAsia="Times New Roman" w:hAnsi="Times New Roman" w:cs="Times New Roman"/>
          <w:sz w:val="28"/>
          <w:szCs w:val="28"/>
        </w:rPr>
        <w:t xml:space="preserve"> (нада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 xml:space="preserve">ють </w:t>
      </w:r>
      <w:r w:rsidR="008C3DC6" w:rsidRPr="00507D0B">
        <w:rPr>
          <w:rFonts w:ascii="Times New Roman" w:eastAsia="Times New Roman" w:hAnsi="Times New Roman" w:cs="Times New Roman"/>
          <w:sz w:val="28"/>
          <w:szCs w:val="28"/>
        </w:rPr>
        <w:t>послуг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C3DC6" w:rsidRPr="00507D0B">
        <w:rPr>
          <w:rFonts w:ascii="Times New Roman" w:eastAsia="Times New Roman" w:hAnsi="Times New Roman" w:cs="Times New Roman"/>
          <w:sz w:val="28"/>
          <w:szCs w:val="28"/>
        </w:rPr>
        <w:t>) в рамках здійснення резидентами Дія Сіті їх господарської діяльності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 xml:space="preserve"> на підставі</w:t>
      </w:r>
      <w:r w:rsid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832B4">
        <w:rPr>
          <w:rFonts w:ascii="Times New Roman" w:eastAsia="Times New Roman" w:hAnsi="Times New Roman" w:cs="Times New Roman"/>
          <w:color w:val="000000"/>
          <w:sz w:val="28"/>
          <w:szCs w:val="28"/>
        </w:rPr>
        <w:t>гіг</w:t>
      </w:r>
      <w:proofErr w:type="spellEnd"/>
      <w:r w:rsidR="008832B4">
        <w:rPr>
          <w:rFonts w:ascii="Times New Roman" w:eastAsia="Times New Roman" w:hAnsi="Times New Roman" w:cs="Times New Roman"/>
          <w:color w:val="000000"/>
          <w:sz w:val="28"/>
          <w:szCs w:val="28"/>
        </w:rPr>
        <w:t>-контракт</w:t>
      </w:r>
      <w:r w:rsid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ів, укладених відповідно до </w:t>
      </w:r>
      <w:r w:rsidR="008C3DC6"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</w:t>
      </w:r>
      <w:r w:rsidR="008C3DC6" w:rsidRPr="007A716E">
        <w:rPr>
          <w:rFonts w:ascii="Times New Roman" w:eastAsia="Times New Roman" w:hAnsi="Times New Roman" w:cs="Times New Roman"/>
          <w:color w:val="000000"/>
          <w:sz w:val="28"/>
          <w:szCs w:val="28"/>
        </w:rPr>
        <w:t>«Про стимулювання розвитку цифрової економіки в Україні»</w:t>
      </w:r>
      <w:r w:rsid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8832B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D0ABBC" w14:textId="57840299" w:rsidR="008832B4" w:rsidRPr="008C3DC6" w:rsidRDefault="008832B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Спеціальний режим оподаткування резидентів Дія Сіті передбачає можливість переходу ними на оподаткування податком на прибуток п</w:t>
      </w:r>
      <w:r w:rsidRPr="008C3DC6">
        <w:rPr>
          <w:rFonts w:ascii="Times New Roman" w:eastAsia="Times New Roman" w:hAnsi="Times New Roman" w:cs="Times New Roman"/>
          <w:sz w:val="28"/>
          <w:szCs w:val="28"/>
        </w:rPr>
        <w:t>ідприємств за особливими умовами, що передбачають ставку податку у розмірі 9% та оподаткування лише низки операцій, таких як, зокрема:</w:t>
      </w:r>
    </w:p>
    <w:p w14:paraId="57051787" w14:textId="0761C730" w:rsidR="008832B4" w:rsidRPr="008C3DC6" w:rsidRDefault="008832B4" w:rsidP="009516A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виплати процентів на користь нерезидентів – пов’язани</w:t>
      </w:r>
      <w:r w:rsidR="00E00078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осіб, або нерезидентів, зареєстрованих в державах, що є «</w:t>
      </w:r>
      <w:proofErr w:type="spellStart"/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низькоподатковими</w:t>
      </w:r>
      <w:proofErr w:type="spellEnd"/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» юрисдикціями;</w:t>
      </w:r>
    </w:p>
    <w:p w14:paraId="79648815" w14:textId="19E72BA4" w:rsidR="008832B4" w:rsidRPr="008C3DC6" w:rsidRDefault="008832B4" w:rsidP="009516A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надання фінансової допомоги не платнику податку, яка не підлягає поверненню, або пов’язаній </w:t>
      </w:r>
      <w:r w:rsidR="00E00078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фізичній </w:t>
      </w: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особі</w:t>
      </w:r>
      <w:r w:rsidR="00E00078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неплатнику податку або пов’язаній особі – нерезиденту незалежно від наявності умови про повернення</w:t>
      </w:r>
      <w:r w:rsidR="009516AC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або </w:t>
      </w:r>
      <w:r w:rsidR="00E00078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пов’язаній юридичній особі – неплатнику податку чи непов’язаній особі, яка залишається неповернутою протягом 12 календарних місяців</w:t>
      </w: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(крім окремих випадків);</w:t>
      </w:r>
    </w:p>
    <w:p w14:paraId="20C57901" w14:textId="56FBC299" w:rsidR="008832B4" w:rsidRPr="008C3DC6" w:rsidRDefault="008832B4" w:rsidP="009516A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безоплатн</w:t>
      </w:r>
      <w:r w:rsidR="009516AC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надання майна не платнику податку (крім окремих випадків);</w:t>
      </w:r>
    </w:p>
    <w:p w14:paraId="52BFDA14" w14:textId="77777777" w:rsidR="008832B4" w:rsidRPr="008C3DC6" w:rsidRDefault="008832B4" w:rsidP="009516A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виплати, що здійснюються у зв’язку із вкладенням в об’єкти інвестицій (в тому числі придбанням майна), що перебувають за межами території України,</w:t>
      </w:r>
    </w:p>
    <w:p w14:paraId="251E0C61" w14:textId="49DB0191" w:rsidR="008832B4" w:rsidRPr="008C3DC6" w:rsidRDefault="008832B4" w:rsidP="009516A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придбання </w:t>
      </w:r>
      <w:r w:rsidR="009516AC"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майна, </w:t>
      </w: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робіт, послуг у неплатника податку – нерезидента, та/або передача майна, робіт, послуг неплатнику податку – нерезиденту (якщо розрахунки чи постачання майна, робіт, послуг за відповідними операціями не здійснено у 360-денний чи інший строк відповідно до законодавства);</w:t>
      </w:r>
    </w:p>
    <w:p w14:paraId="0CCDBA49" w14:textId="77777777" w:rsidR="008832B4" w:rsidRPr="008C3DC6" w:rsidRDefault="008832B4" w:rsidP="009516A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виплата роялті в сумах перевищення ліміту та в інших окремих випадках.</w:t>
      </w:r>
    </w:p>
    <w:p w14:paraId="6EB5587B" w14:textId="5D089421" w:rsidR="008C3DC6" w:rsidRDefault="008C3DC6" w:rsidP="008C3D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Спеціальний режим оподаткування окремих доходів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працівників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гіг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-спеціалістів</w:t>
      </w: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резидентів Дія Сіті передбачає:</w:t>
      </w:r>
    </w:p>
    <w:p w14:paraId="31AD53AB" w14:textId="77777777" w:rsidR="008C3DC6" w:rsidRDefault="008C3DC6" w:rsidP="008C3DC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sz w:val="28"/>
          <w:szCs w:val="28"/>
        </w:rPr>
        <w:t xml:space="preserve">оподаткування </w:t>
      </w:r>
      <w:r>
        <w:rPr>
          <w:rFonts w:ascii="Times New Roman" w:eastAsia="Times New Roman" w:hAnsi="Times New Roman" w:cs="Times New Roman"/>
          <w:sz w:val="28"/>
          <w:szCs w:val="28"/>
        </w:rPr>
        <w:t>податком з доходів фізичних осіб за ставкою 5%:</w:t>
      </w:r>
    </w:p>
    <w:p w14:paraId="2A924002" w14:textId="47AE654B" w:rsidR="008C3DC6" w:rsidRDefault="008C3DC6" w:rsidP="009B2DDB">
      <w:pPr>
        <w:pStyle w:val="a4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127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color w:val="000000"/>
          <w:sz w:val="28"/>
          <w:szCs w:val="28"/>
        </w:rPr>
        <w:t>заробітної</w:t>
      </w:r>
      <w:r w:rsidRPr="008C3DC6">
        <w:rPr>
          <w:rFonts w:ascii="Times New Roman" w:eastAsia="Times New Roman" w:hAnsi="Times New Roman" w:cs="Times New Roman"/>
          <w:sz w:val="28"/>
          <w:szCs w:val="28"/>
        </w:rPr>
        <w:t xml:space="preserve"> плати працівників </w:t>
      </w:r>
      <w:r>
        <w:rPr>
          <w:rFonts w:ascii="Times New Roman" w:eastAsia="Times New Roman" w:hAnsi="Times New Roman" w:cs="Times New Roman"/>
          <w:sz w:val="28"/>
          <w:szCs w:val="28"/>
        </w:rPr>
        <w:t>резидентів Дія Сіті;</w:t>
      </w:r>
    </w:p>
    <w:p w14:paraId="4F7FF95E" w14:textId="42896012" w:rsidR="008C3DC6" w:rsidRDefault="008C3DC6" w:rsidP="009B2DDB">
      <w:pPr>
        <w:pStyle w:val="a4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127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3DC6">
        <w:rPr>
          <w:rFonts w:ascii="Times New Roman" w:eastAsia="Times New Roman" w:hAnsi="Times New Roman" w:cs="Times New Roman"/>
          <w:sz w:val="28"/>
          <w:szCs w:val="28"/>
        </w:rPr>
        <w:t xml:space="preserve">винагороди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гіг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-спеціалістів за </w:t>
      </w:r>
      <w:proofErr w:type="spellStart"/>
      <w:r w:rsidRPr="008C3DC6">
        <w:rPr>
          <w:rFonts w:ascii="Times New Roman" w:eastAsia="Times New Roman" w:hAnsi="Times New Roman" w:cs="Times New Roman"/>
          <w:sz w:val="28"/>
          <w:szCs w:val="28"/>
        </w:rPr>
        <w:t>гіг</w:t>
      </w:r>
      <w:proofErr w:type="spellEnd"/>
      <w:r w:rsidRPr="008C3DC6">
        <w:rPr>
          <w:rFonts w:ascii="Times New Roman" w:eastAsia="Times New Roman" w:hAnsi="Times New Roman" w:cs="Times New Roman"/>
          <w:sz w:val="28"/>
          <w:szCs w:val="28"/>
        </w:rPr>
        <w:t>-контрактами</w:t>
      </w:r>
      <w:r>
        <w:rPr>
          <w:rFonts w:ascii="Times New Roman" w:eastAsia="Times New Roman" w:hAnsi="Times New Roman" w:cs="Times New Roman"/>
          <w:sz w:val="28"/>
          <w:szCs w:val="28"/>
        </w:rPr>
        <w:t>, укладеними з резидентами Дія Сіті;</w:t>
      </w:r>
    </w:p>
    <w:p w14:paraId="2B3771B3" w14:textId="76971294" w:rsidR="009B2DDB" w:rsidRDefault="009B2DDB" w:rsidP="009B2DDB">
      <w:pPr>
        <w:pStyle w:val="a4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127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2DDB">
        <w:rPr>
          <w:rFonts w:ascii="Times New Roman" w:eastAsia="Times New Roman" w:hAnsi="Times New Roman" w:cs="Times New Roman"/>
          <w:sz w:val="28"/>
          <w:szCs w:val="28"/>
        </w:rPr>
        <w:t>авторської винагороди за створення службового твору та перехід прав на службові твори.</w:t>
      </w:r>
    </w:p>
    <w:p w14:paraId="728D1529" w14:textId="53C7B8F6" w:rsidR="009B2DDB" w:rsidRDefault="009B2DDB" w:rsidP="009B2DDB">
      <w:pPr>
        <w:pStyle w:val="a4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сплату єдиного внеску на загальнообов’язкове державне соціальне страхування у розмірі:</w:t>
      </w:r>
    </w:p>
    <w:p w14:paraId="300FA7C9" w14:textId="72EB2FEE" w:rsidR="009B2DDB" w:rsidRDefault="009B2DDB" w:rsidP="009B2DDB">
      <w:pPr>
        <w:pStyle w:val="a4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127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>мінімального страхового внеску – для працівників резидентів Дія Сіті;</w:t>
      </w:r>
    </w:p>
    <w:p w14:paraId="6A350C73" w14:textId="19A6A05A" w:rsidR="009B2DDB" w:rsidRPr="009B2DDB" w:rsidRDefault="009B2DDB" w:rsidP="009B2DDB">
      <w:pPr>
        <w:pStyle w:val="a4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127" w:hanging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22 відсотки від визначеного з урахуванням положень </w:t>
      </w:r>
      <w:proofErr w:type="spellStart"/>
      <w:r w:rsidRP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>гіг</w:t>
      </w:r>
      <w:proofErr w:type="spellEnd"/>
      <w:r w:rsidRP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-контракту розміру бази нарахування єдиного внеску, однак не більше максимальної та не менше мінімальної величини бази нарахування єдиного внеску, встановленої законом – для </w:t>
      </w:r>
      <w:proofErr w:type="spellStart"/>
      <w:r w:rsidRP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>гіг</w:t>
      </w:r>
      <w:proofErr w:type="spellEnd"/>
      <w:r w:rsidRP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>-спеціалістів резидента Дія Сіті.</w:t>
      </w:r>
    </w:p>
    <w:p w14:paraId="0000001D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14:paraId="0000001E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Правове регулювання у зазначеній сфері забезпечується:</w:t>
      </w:r>
    </w:p>
    <w:p w14:paraId="0000001F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Конституцією України;</w:t>
      </w:r>
    </w:p>
    <w:p w14:paraId="00000020" w14:textId="77777777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Податковим кодексом України;</w:t>
      </w:r>
    </w:p>
    <w:p w14:paraId="00000021" w14:textId="60B5AD9E" w:rsidR="00F07F1A" w:rsidRDefault="005B7A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України «Про збір та облік єдиного внеску на загальнообов’язкове державне соціальне страхування»</w:t>
      </w:r>
      <w:r w:rsidR="009B2D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22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F07F1A" w:rsidRDefault="005B7A82">
      <w:pPr>
        <w:numPr>
          <w:ilvl w:val="0"/>
          <w:numId w:val="3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 </w:t>
      </w:r>
    </w:p>
    <w:p w14:paraId="00000024" w14:textId="77777777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законопроекту не потребує додаткових фінансових витрат із державного та місцевих бюджетів України.</w:t>
      </w:r>
    </w:p>
    <w:p w14:paraId="00000025" w14:textId="77777777" w:rsidR="00F07F1A" w:rsidRDefault="00F07F1A">
      <w:pPr>
        <w:tabs>
          <w:tab w:val="left" w:pos="851"/>
        </w:tabs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77777777" w:rsidR="00F07F1A" w:rsidRDefault="005B7A82">
      <w:pPr>
        <w:numPr>
          <w:ilvl w:val="0"/>
          <w:numId w:val="3"/>
        </w:numPr>
        <w:tabs>
          <w:tab w:val="left" w:pos="851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Прогноз очікуваних соціально-економічних, правових та інших наслідків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проєкту</w:t>
      </w:r>
      <w:proofErr w:type="spellEnd"/>
    </w:p>
    <w:p w14:paraId="00000027" w14:textId="77C255DE" w:rsidR="00F07F1A" w:rsidRDefault="005B7A8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підвищить рівень конкурентоспроможності </w:t>
      </w:r>
      <w:r w:rsidR="009B2DDB" w:rsidRPr="00CA0633">
        <w:rPr>
          <w:rFonts w:ascii="Times New Roman" w:eastAsia="Times New Roman" w:hAnsi="Times New Roman" w:cs="Times New Roman"/>
          <w:sz w:val="28"/>
          <w:szCs w:val="28"/>
        </w:rPr>
        <w:t>цифрової економіки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7F9BD5EA" w14:textId="42A3C260" w:rsidR="009B2DDB" w:rsidRPr="00CA0633" w:rsidRDefault="009B2DDB" w:rsidP="009B2DDB">
      <w:pPr>
        <w:widowControl w:val="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633">
        <w:rPr>
          <w:rFonts w:ascii="Times New Roman" w:eastAsia="Times New Roman" w:hAnsi="Times New Roman" w:cs="Times New Roman"/>
          <w:sz w:val="28"/>
          <w:szCs w:val="28"/>
        </w:rPr>
        <w:t>Вже у 2021</w:t>
      </w:r>
      <w:r>
        <w:rPr>
          <w:rFonts w:ascii="Times New Roman" w:eastAsia="Times New Roman" w:hAnsi="Times New Roman" w:cs="Times New Roman"/>
          <w:sz w:val="28"/>
          <w:szCs w:val="28"/>
        </w:rPr>
        <w:t>-2022</w:t>
      </w:r>
      <w:r w:rsidRPr="00CA0633">
        <w:rPr>
          <w:rFonts w:ascii="Times New Roman" w:eastAsia="Times New Roman" w:hAnsi="Times New Roman" w:cs="Times New Roman"/>
          <w:sz w:val="28"/>
          <w:szCs w:val="28"/>
        </w:rPr>
        <w:t xml:space="preserve"> ро</w:t>
      </w:r>
      <w:r>
        <w:rPr>
          <w:rFonts w:ascii="Times New Roman" w:eastAsia="Times New Roman" w:hAnsi="Times New Roman" w:cs="Times New Roman"/>
          <w:sz w:val="28"/>
          <w:szCs w:val="28"/>
        </w:rPr>
        <w:t>ках</w:t>
      </w:r>
      <w:r w:rsidRPr="00CA0633">
        <w:rPr>
          <w:rFonts w:ascii="Times New Roman" w:eastAsia="Times New Roman" w:hAnsi="Times New Roman" w:cs="Times New Roman"/>
          <w:sz w:val="28"/>
          <w:szCs w:val="28"/>
        </w:rPr>
        <w:t xml:space="preserve"> завдяки запровадженню стимулюючих заходів, передбачених </w:t>
      </w:r>
      <w:proofErr w:type="spellStart"/>
      <w:r w:rsidRPr="00CA0633">
        <w:rPr>
          <w:rFonts w:ascii="Times New Roman" w:eastAsia="Times New Roman" w:hAnsi="Times New Roman" w:cs="Times New Roman"/>
          <w:sz w:val="28"/>
          <w:szCs w:val="28"/>
        </w:rPr>
        <w:t>законопро</w:t>
      </w:r>
      <w:r>
        <w:rPr>
          <w:rFonts w:ascii="Times New Roman" w:eastAsia="Times New Roman" w:hAnsi="Times New Roman" w:cs="Times New Roman"/>
          <w:sz w:val="28"/>
          <w:szCs w:val="28"/>
        </w:rPr>
        <w:t>є</w:t>
      </w:r>
      <w:r w:rsidRPr="00CA0633">
        <w:rPr>
          <w:rFonts w:ascii="Times New Roman" w:eastAsia="Times New Roman" w:hAnsi="Times New Roman" w:cs="Times New Roman"/>
          <w:sz w:val="28"/>
          <w:szCs w:val="28"/>
        </w:rPr>
        <w:t>ктом</w:t>
      </w:r>
      <w:proofErr w:type="spellEnd"/>
      <w:r w:rsidRPr="00CA0633">
        <w:rPr>
          <w:rFonts w:ascii="Times New Roman" w:eastAsia="Times New Roman" w:hAnsi="Times New Roman" w:cs="Times New Roman"/>
          <w:sz w:val="28"/>
          <w:szCs w:val="28"/>
        </w:rPr>
        <w:t>, очікується створення близько 80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A0633">
        <w:rPr>
          <w:rFonts w:ascii="Times New Roman" w:eastAsia="Times New Roman" w:hAnsi="Times New Roman" w:cs="Times New Roman"/>
          <w:sz w:val="28"/>
          <w:szCs w:val="28"/>
        </w:rPr>
        <w:t xml:space="preserve">000 нових робочих місць; до 2025 року очікується зростання ринку креативної індустрії до 11,8 млрд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доларів США </w:t>
      </w:r>
      <w:r w:rsidRPr="00CA0633">
        <w:rPr>
          <w:rFonts w:ascii="Times New Roman" w:eastAsia="Times New Roman" w:hAnsi="Times New Roman" w:cs="Times New Roman"/>
          <w:sz w:val="28"/>
          <w:szCs w:val="28"/>
        </w:rPr>
        <w:t>(в 2019 році він становив 6,2 млрд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доларів США</w:t>
      </w:r>
      <w:r w:rsidRPr="00CA0633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9" w14:textId="77777777" w:rsidR="00F07F1A" w:rsidRDefault="00F07F1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BA79B39" w14:textId="3443761A" w:rsidR="005B7A82" w:rsidRPr="005B7A82" w:rsidRDefault="005B7A82" w:rsidP="006634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Народні депутати України</w:t>
      </w:r>
    </w:p>
    <w:p w14:paraId="2A776EB9" w14:textId="42DF8141" w:rsidR="005B7A82" w:rsidRDefault="005B7A82" w:rsidP="005B7A82">
      <w:pPr>
        <w:rPr>
          <w:b/>
        </w:rPr>
      </w:pPr>
    </w:p>
    <w:p w14:paraId="0000002A" w14:textId="36FC49CF" w:rsidR="00F07F1A" w:rsidRPr="005B7A82" w:rsidRDefault="00F07F1A">
      <w:pPr>
        <w:spacing w:after="120" w:line="240" w:lineRule="auto"/>
        <w:ind w:firstLine="709"/>
        <w:rPr>
          <w:sz w:val="28"/>
          <w:szCs w:val="28"/>
        </w:rPr>
      </w:pPr>
    </w:p>
    <w:sectPr w:rsidR="00F07F1A" w:rsidRPr="005B7A82" w:rsidSect="000C066C">
      <w:headerReference w:type="default" r:id="rId11"/>
      <w:pgSz w:w="11906" w:h="16838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9E76C" w14:textId="77777777" w:rsidR="003E27C9" w:rsidRDefault="003E27C9" w:rsidP="000C066C">
      <w:pPr>
        <w:spacing w:after="0" w:line="240" w:lineRule="auto"/>
      </w:pPr>
      <w:r>
        <w:separator/>
      </w:r>
    </w:p>
  </w:endnote>
  <w:endnote w:type="continuationSeparator" w:id="0">
    <w:p w14:paraId="4D94FFC6" w14:textId="77777777" w:rsidR="003E27C9" w:rsidRDefault="003E27C9" w:rsidP="000C0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029B8" w14:textId="77777777" w:rsidR="003E27C9" w:rsidRDefault="003E27C9" w:rsidP="000C066C">
      <w:pPr>
        <w:spacing w:after="0" w:line="240" w:lineRule="auto"/>
      </w:pPr>
      <w:r>
        <w:separator/>
      </w:r>
    </w:p>
  </w:footnote>
  <w:footnote w:type="continuationSeparator" w:id="0">
    <w:p w14:paraId="73470454" w14:textId="77777777" w:rsidR="003E27C9" w:rsidRDefault="003E27C9" w:rsidP="000C0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665211"/>
      <w:docPartObj>
        <w:docPartGallery w:val="Page Numbers (Top of Page)"/>
        <w:docPartUnique/>
      </w:docPartObj>
    </w:sdtPr>
    <w:sdtEndPr/>
    <w:sdtContent>
      <w:p w14:paraId="27AA267C" w14:textId="5C812D42" w:rsidR="000C066C" w:rsidRDefault="000C066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525">
          <w:rPr>
            <w:noProof/>
          </w:rPr>
          <w:t>2</w:t>
        </w:r>
        <w:r>
          <w:fldChar w:fldCharType="end"/>
        </w:r>
      </w:p>
    </w:sdtContent>
  </w:sdt>
  <w:p w14:paraId="0EEEB295" w14:textId="77777777" w:rsidR="000C066C" w:rsidRDefault="000C066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32CC"/>
    <w:multiLevelType w:val="hybridMultilevel"/>
    <w:tmpl w:val="FEE660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B012831"/>
    <w:multiLevelType w:val="multilevel"/>
    <w:tmpl w:val="4A52B46A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0F1F9F"/>
    <w:multiLevelType w:val="hybridMultilevel"/>
    <w:tmpl w:val="81A405F4"/>
    <w:lvl w:ilvl="0" w:tplc="CAE07D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0966939"/>
    <w:multiLevelType w:val="hybridMultilevel"/>
    <w:tmpl w:val="4C8C10B2"/>
    <w:lvl w:ilvl="0" w:tplc="80FEF56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7436E37"/>
    <w:multiLevelType w:val="multilevel"/>
    <w:tmpl w:val="EC96B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65E07F79"/>
    <w:multiLevelType w:val="hybridMultilevel"/>
    <w:tmpl w:val="FEE660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CAD4860"/>
    <w:multiLevelType w:val="multilevel"/>
    <w:tmpl w:val="A4CE22FE"/>
    <w:lvl w:ilvl="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F1A"/>
    <w:rsid w:val="000572EE"/>
    <w:rsid w:val="000648D2"/>
    <w:rsid w:val="000C066C"/>
    <w:rsid w:val="001F15B6"/>
    <w:rsid w:val="003E27C9"/>
    <w:rsid w:val="004A1974"/>
    <w:rsid w:val="004B7211"/>
    <w:rsid w:val="005B7A82"/>
    <w:rsid w:val="005E7278"/>
    <w:rsid w:val="006634C6"/>
    <w:rsid w:val="00693200"/>
    <w:rsid w:val="006F1385"/>
    <w:rsid w:val="007A716E"/>
    <w:rsid w:val="007E30CF"/>
    <w:rsid w:val="008832B4"/>
    <w:rsid w:val="008C3DC6"/>
    <w:rsid w:val="00923181"/>
    <w:rsid w:val="009516AC"/>
    <w:rsid w:val="009A5525"/>
    <w:rsid w:val="009B2DDB"/>
    <w:rsid w:val="00B60F87"/>
    <w:rsid w:val="00B82BA0"/>
    <w:rsid w:val="00CE31C0"/>
    <w:rsid w:val="00E00078"/>
    <w:rsid w:val="00F0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3E565"/>
  <w15:docId w15:val="{21128A57-1DD7-4F4C-B3DC-877221CEA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9C0032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5B7A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B7A82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0C06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0C066C"/>
  </w:style>
  <w:style w:type="paragraph" w:styleId="aa">
    <w:name w:val="footer"/>
    <w:basedOn w:val="a"/>
    <w:link w:val="ab"/>
    <w:uiPriority w:val="99"/>
    <w:unhideWhenUsed/>
    <w:rsid w:val="000C06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0C0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6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6JhyO7FGS8akBzcNgCw3sRC8jg==">AMUW2mW8WodU7FeqkrZw8oKhnCa89GkzIIRQTOYR8tUdo/d9ulw66FHleMrhx6xqxqtDzDxi5Vr+LHa9xrHRkksrnC7BjoULmACXuLa/YXx8nJE8UNPwutbWuaAtPsQyHbXFC+qwLxMS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A5161D-5F59-49CC-B3CC-4A9C683C44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DC6FE5-622A-46DF-B210-6EEF53247B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492DA30F-3B5D-49EA-852A-BA05AA25B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4628</Words>
  <Characters>2639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2021-04-14T11:29:00Z</dcterms:created>
  <dcterms:modified xsi:type="dcterms:W3CDTF">2021-04-14T11:29:00Z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