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2AD7" w:rsidRPr="00E25871" w:rsidRDefault="00B41A00" w:rsidP="00B41A00">
      <w:pPr>
        <w:jc w:val="center"/>
        <w:rPr>
          <w:rFonts w:ascii="Times New Roman" w:eastAsia="Times New Roman" w:hAnsi="Times New Roman" w:cs="Times New Roman"/>
          <w:b/>
          <w:sz w:val="28"/>
          <w:szCs w:val="28"/>
        </w:rPr>
      </w:pPr>
      <w:bookmarkStart w:id="0" w:name="_GoBack"/>
      <w:bookmarkEnd w:id="0"/>
      <w:r w:rsidRPr="00E25871">
        <w:rPr>
          <w:rFonts w:ascii="Times New Roman" w:eastAsia="Times New Roman" w:hAnsi="Times New Roman" w:cs="Times New Roman"/>
          <w:b/>
          <w:sz w:val="28"/>
          <w:szCs w:val="28"/>
        </w:rPr>
        <w:t>ПОРІВНЯЛЬНА ТАБЛИЦЯ</w:t>
      </w:r>
    </w:p>
    <w:p w:rsidR="00FF2AD7" w:rsidRPr="00E25871" w:rsidRDefault="00B41A00">
      <w:pPr>
        <w:jc w:val="center"/>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t xml:space="preserve">до проекту Закону України «Про внесення змін до деяких законодавчих актів України щодо врегулювання деяких питань у спорах щодо визначення місця проживання малолітньої дитини» </w:t>
      </w:r>
    </w:p>
    <w:p w:rsidR="00FF2AD7" w:rsidRPr="00E25871" w:rsidRDefault="00FF2AD7">
      <w:pPr>
        <w:jc w:val="center"/>
        <w:rPr>
          <w:rFonts w:ascii="Times New Roman" w:eastAsia="Times New Roman" w:hAnsi="Times New Roman" w:cs="Times New Roman"/>
          <w:b/>
          <w:sz w:val="28"/>
          <w:szCs w:val="28"/>
        </w:rPr>
      </w:pPr>
    </w:p>
    <w:tbl>
      <w:tblPr>
        <w:tblStyle w:val="a5"/>
        <w:tblW w:w="14130" w:type="dxa"/>
        <w:tblInd w:w="0" w:type="dxa"/>
        <w:tblLayout w:type="fixed"/>
        <w:tblLook w:val="0600" w:firstRow="0" w:lastRow="0" w:firstColumn="0" w:lastColumn="0" w:noHBand="1" w:noVBand="1"/>
      </w:tblPr>
      <w:tblGrid>
        <w:gridCol w:w="6840"/>
        <w:gridCol w:w="7290"/>
      </w:tblGrid>
      <w:tr w:rsidR="00FF2AD7" w:rsidRPr="00E25871">
        <w:trPr>
          <w:trHeight w:val="585"/>
        </w:trPr>
        <w:tc>
          <w:tcPr>
            <w:tcW w:w="684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2AD7" w:rsidRPr="00E25871" w:rsidRDefault="00E25871">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Зміст положення акта</w:t>
            </w:r>
            <w:r w:rsidR="00B41A00" w:rsidRPr="00E25871">
              <w:rPr>
                <w:rFonts w:ascii="Times New Roman" w:eastAsia="Times New Roman" w:hAnsi="Times New Roman" w:cs="Times New Roman"/>
                <w:b/>
                <w:sz w:val="28"/>
                <w:szCs w:val="28"/>
              </w:rPr>
              <w:t xml:space="preserve"> законодавства</w:t>
            </w:r>
          </w:p>
          <w:p w:rsidR="00FF2AD7" w:rsidRPr="00E25871" w:rsidRDefault="00FF2AD7">
            <w:pPr>
              <w:rPr>
                <w:b/>
                <w:sz w:val="28"/>
                <w:szCs w:val="28"/>
              </w:rPr>
            </w:pPr>
          </w:p>
        </w:tc>
        <w:tc>
          <w:tcPr>
            <w:tcW w:w="72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2AD7" w:rsidRPr="00E25871" w:rsidRDefault="00B41A00">
            <w:pPr>
              <w:jc w:val="center"/>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t>Зміст відповідного положення проекту акта</w:t>
            </w:r>
          </w:p>
        </w:tc>
      </w:tr>
      <w:tr w:rsidR="00FF2AD7" w:rsidRPr="00E25871">
        <w:trPr>
          <w:trHeight w:val="375"/>
        </w:trPr>
        <w:tc>
          <w:tcPr>
            <w:tcW w:w="14130"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2AD7" w:rsidRPr="00E25871" w:rsidRDefault="00B41A00">
            <w:pPr>
              <w:jc w:val="center"/>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t>Цивільний процесуальний кодекс України</w:t>
            </w:r>
          </w:p>
        </w:tc>
      </w:tr>
      <w:tr w:rsidR="00FF2AD7" w:rsidRPr="00E25871">
        <w:trPr>
          <w:trHeight w:val="3480"/>
        </w:trPr>
        <w:tc>
          <w:tcPr>
            <w:tcW w:w="6840"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tcPr>
          <w:p w:rsidR="00FF2AD7" w:rsidRPr="00E25871" w:rsidRDefault="00B41A00">
            <w:pPr>
              <w:jc w:val="both"/>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t>Відсутня</w:t>
            </w:r>
          </w:p>
        </w:tc>
        <w:tc>
          <w:tcPr>
            <w:tcW w:w="7290"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tcPr>
          <w:p w:rsidR="00FF2AD7" w:rsidRPr="00E25871" w:rsidRDefault="00B41A00">
            <w:pPr>
              <w:ind w:firstLine="720"/>
              <w:jc w:val="both"/>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t>Стаття 150. Забезпечення позову у спорах щодо визначення місця проживання малолітньої дитини</w:t>
            </w:r>
          </w:p>
          <w:p w:rsidR="00FF2AD7" w:rsidRPr="00E25871" w:rsidRDefault="00B41A00">
            <w:pPr>
              <w:ind w:firstLine="720"/>
              <w:jc w:val="both"/>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t xml:space="preserve">12. При поданні позовної заяви про визначення місця проживання малолітньої дитини з одним з батьків останній має право одночасно подати заяву про забезпечення позову щодо встановлення графіку побачень, та/або часу зустрічей з малолітньою дитиною, який на період судового розгляду позовної заяви про визначення місця проживання малолітньої дитини та до моменту набрання законної сили рішення суду про встановлення місця проживання малолітньої дитини проживає окремо від малолітньої дитини, а суд зобов'язаний невідкладно, але не пізніше, ніж протягом 2 робочих днів розглянути таку заяву про забезпечення позову. </w:t>
            </w:r>
          </w:p>
        </w:tc>
      </w:tr>
      <w:tr w:rsidR="00FF2AD7" w:rsidRPr="00E25871">
        <w:trPr>
          <w:trHeight w:val="375"/>
        </w:trPr>
        <w:tc>
          <w:tcPr>
            <w:tcW w:w="14130" w:type="dxa"/>
            <w:gridSpan w:val="2"/>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tcPr>
          <w:p w:rsidR="00FF2AD7" w:rsidRPr="00E25871" w:rsidRDefault="00B41A00">
            <w:pPr>
              <w:jc w:val="center"/>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lastRenderedPageBreak/>
              <w:t xml:space="preserve">Сімейний кодекс України </w:t>
            </w:r>
          </w:p>
        </w:tc>
      </w:tr>
      <w:tr w:rsidR="00FF2AD7" w:rsidRPr="00E25871">
        <w:trPr>
          <w:trHeight w:val="1065"/>
        </w:trPr>
        <w:tc>
          <w:tcPr>
            <w:tcW w:w="6840"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tcPr>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Стаття 157. Вирішення батьками питань щодо виховання дитини</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1. Питання виховання дитини вирішується батьками спільно, крім випадку, передбаченого частиною п’ятою цієї статті.</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2. Той із батьків, хто проживає окремо від дитини, зобов'язаний брати участь у її вихованні і має право на особисте спілкування з нею.</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3. Той із батьків, з ким проживає дитина, не має права перешкоджати тому з батьків, хто проживає окремо, спілкуватися з дитиною та брати участь у її вихованні, якщо таке спілкування не перешкоджає нормальному розвиткові дитини.</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4. Батьки мають право укласти договір щодо здійснення батьківських прав та виконання обов'язків тим з них, хто проживає окремо від дитини. Договір укладається у письмовій формі та підлягає нотаріальному посвідченню.</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 xml:space="preserve">Той з батьків, хто проживає з дитиною, у разі його ухилення від виконання договору зобов'язаний </w:t>
            </w:r>
            <w:r w:rsidRPr="00E25871">
              <w:rPr>
                <w:rFonts w:ascii="Times New Roman" w:eastAsia="Times New Roman" w:hAnsi="Times New Roman" w:cs="Times New Roman"/>
                <w:sz w:val="28"/>
                <w:szCs w:val="28"/>
              </w:rPr>
              <w:lastRenderedPageBreak/>
              <w:t>відшкодувати матеріальну та моральну шкоду, завдану другому з батьків.</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5. Той із батьків, з яким за рішенням суду визначено або висновком органів опіки та піклування підтверджено місце проживання дитини, крім того з батьків, до якого застосовуються заходи примусового виконання рішення про встановлення побачення з дитиною та про усунення перешкод у побаченні з дитиною, самостійно вирішує питання тимчасового виїзду за межі України на строк, що не перевищує одного місяця, з метою лікування, навчання, участі дитини в дитячих змаганнях, фестивалях, наукових виставках, учнівських олімпіадах та конкурсах, екологічних, технічних, мистецьких, туристичних, дослідницьких, спортивних заходах, оздоровлення та відпочинку дитини за кордоном, у тому числі у складі організованої групи дітей, та у разі, якщо йому відомо місце проживання іншого з батьків, який не ухиляється та належно виконує батьківські обов’язки, інформує його шляхом надсилання рекомендованого листа про тимчасовий виїзд дитини за межі України, мету виїзду, державу прямування та відповідний часовий проміжок перебування у цій державі.</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lastRenderedPageBreak/>
              <w:t>Той із батьків, з яким за рішенням суду визначено або висновком органів опіки та піклування підтверджено місце проживання дитини, самостійно вирішує питання тимчасового виїзду за межі України на строк до одного місяця та більше з метою лікування, навчання, участі дитини в дитячих змаганнях, фестивалях, наукових виставках, учнівських олімпіадах та конкурсах, екологічних, технічних, мистецьких, туристичних, дослідницьких, спортивних заходах, оздоровлення та відпочинку дитини за кордоном, у тому числі у складі організованої групи дітей, у разі:</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1) наявності заборгованості зі сплати аліментів, сукупний розмір якої перевищує суму відповідних платежів за чотири місяці, підтвердженої довідкою про наявність заборгованості зі сплати аліментів;</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 xml:space="preserve">2) наявності заборгованості зі сплати аліментів, підтвердженої довідкою про наявність заборгованості зі сплати аліментів, сукупний розмір якої перевищує суму відповідних платежів за три місяці, якщо аліменти сплачуються на утримання дитини з інвалідністю, дитини, яка хворіє на тяжкі перинатальні ураження нервової системи, тяжкі вроджені вади розвитку, рідкісне орфанне захворювання, онкологічні, </w:t>
            </w:r>
            <w:r w:rsidRPr="00E25871">
              <w:rPr>
                <w:rFonts w:ascii="Times New Roman" w:eastAsia="Times New Roman" w:hAnsi="Times New Roman" w:cs="Times New Roman"/>
                <w:sz w:val="28"/>
                <w:szCs w:val="28"/>
              </w:rPr>
              <w:lastRenderedPageBreak/>
              <w:t>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або на утримання дитини, яка отримала тяжкі травми, потребує трансплантації органа, потребує паліативної допомоги, що підтверджується документом, виданим лікарсько-консультативною комісією лікувально-профілактичного закладу в порядку та за формою, встановленими центральним органом виконавчої влади, що забезпечує формування та реалізує державну політику у сфері охорони здоров’я.</w:t>
            </w:r>
          </w:p>
          <w:p w:rsidR="00FF2AD7" w:rsidRPr="00E25871" w:rsidRDefault="00B41A00">
            <w:pPr>
              <w:spacing w:after="160"/>
              <w:ind w:firstLine="460"/>
              <w:jc w:val="both"/>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t>пункт відсутній</w:t>
            </w:r>
          </w:p>
          <w:p w:rsidR="00FF2AD7" w:rsidRPr="00E25871" w:rsidRDefault="00FF2AD7">
            <w:pPr>
              <w:spacing w:after="160"/>
              <w:ind w:firstLine="460"/>
              <w:jc w:val="both"/>
              <w:rPr>
                <w:rFonts w:ascii="Times New Roman" w:eastAsia="Times New Roman" w:hAnsi="Times New Roman" w:cs="Times New Roman"/>
                <w:sz w:val="28"/>
                <w:szCs w:val="28"/>
              </w:rPr>
            </w:pPr>
          </w:p>
          <w:p w:rsidR="00FF2AD7" w:rsidRPr="00E25871" w:rsidRDefault="00FF2AD7" w:rsidP="00E25871">
            <w:pPr>
              <w:spacing w:after="160"/>
              <w:jc w:val="both"/>
              <w:rPr>
                <w:rFonts w:ascii="Times New Roman" w:eastAsia="Times New Roman" w:hAnsi="Times New Roman" w:cs="Times New Roman"/>
                <w:sz w:val="28"/>
                <w:szCs w:val="28"/>
              </w:rPr>
            </w:pPr>
          </w:p>
          <w:p w:rsidR="00E25871" w:rsidRPr="00E25871" w:rsidRDefault="00E25871" w:rsidP="00E25871">
            <w:pPr>
              <w:spacing w:after="160"/>
              <w:jc w:val="both"/>
              <w:rPr>
                <w:rFonts w:ascii="Times New Roman" w:eastAsia="Times New Roman" w:hAnsi="Times New Roman" w:cs="Times New Roman"/>
                <w:sz w:val="28"/>
                <w:szCs w:val="28"/>
              </w:rPr>
            </w:pPr>
          </w:p>
          <w:p w:rsidR="00E25871" w:rsidRPr="00E25871" w:rsidRDefault="00E25871" w:rsidP="00E25871">
            <w:pPr>
              <w:spacing w:after="160"/>
              <w:jc w:val="both"/>
              <w:rPr>
                <w:rFonts w:ascii="Times New Roman" w:eastAsia="Times New Roman" w:hAnsi="Times New Roman" w:cs="Times New Roman"/>
                <w:sz w:val="28"/>
                <w:szCs w:val="28"/>
              </w:rPr>
            </w:pPr>
          </w:p>
          <w:p w:rsidR="00E25871" w:rsidRPr="00E25871" w:rsidRDefault="00E25871" w:rsidP="00E25871">
            <w:pPr>
              <w:spacing w:after="160"/>
              <w:jc w:val="both"/>
              <w:rPr>
                <w:rFonts w:ascii="Times New Roman" w:eastAsia="Times New Roman" w:hAnsi="Times New Roman" w:cs="Times New Roman"/>
                <w:sz w:val="28"/>
                <w:szCs w:val="28"/>
              </w:rPr>
            </w:pP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 xml:space="preserve">Той із батьків, хто проживає окремо від дитини, який не ухиляється та належно виконує батьківські </w:t>
            </w:r>
            <w:r w:rsidRPr="00E25871">
              <w:rPr>
                <w:rFonts w:ascii="Times New Roman" w:eastAsia="Times New Roman" w:hAnsi="Times New Roman" w:cs="Times New Roman"/>
                <w:sz w:val="28"/>
                <w:szCs w:val="28"/>
              </w:rPr>
              <w:lastRenderedPageBreak/>
              <w:t>обов’язки, не має заборгованості зі сплати аліментів, звертається рекомендованим листом із повідомленням про вручення до того з батьків, з яким проживає дитина, за наданням згоди на виїзд дитини за межі України з метою лікування, навчання, участі дитини в дитячих змаганнях, фестивалях, наукових виставках, учнівських олімпіадах та конкурсах, екологічних, технічних, мистецьких, туристичних, дослідницьких, спортивних заходах, оздоровлення та відпочинку дитини за кордоном, у тому числі в складі організованої групи дітей.</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У разі ненадання тим із батьків, з яким проживає дитина, нотаріально посвідченої згоди на виїзд дитини за кордон із зазначеною метою, у десятиденний строк з моменту повідомлення про вручення рекомендованого листа, той із батьків, хто проживає окремо від дитини та у якого відсутня заборгованість зі сплати аліментів, має право звернутися до суду із заявою про надання дозволу на виїзд дитини за кордон без згоди другого з батьків.</w:t>
            </w:r>
          </w:p>
          <w:p w:rsidR="00FF2AD7" w:rsidRPr="00E25871" w:rsidRDefault="00B41A00">
            <w:pPr>
              <w:spacing w:after="160"/>
              <w:ind w:firstLine="460"/>
              <w:jc w:val="both"/>
              <w:rPr>
                <w:rFonts w:ascii="Times New Roman" w:eastAsia="Times New Roman" w:hAnsi="Times New Roman" w:cs="Times New Roman"/>
                <w:sz w:val="28"/>
                <w:szCs w:val="28"/>
              </w:rPr>
            </w:pPr>
            <w:r w:rsidRPr="00E25871">
              <w:rPr>
                <w:rFonts w:ascii="Times New Roman" w:eastAsia="Times New Roman" w:hAnsi="Times New Roman" w:cs="Times New Roman"/>
                <w:sz w:val="28"/>
                <w:szCs w:val="28"/>
              </w:rPr>
              <w:t xml:space="preserve">Довідка про наявність заборгованості зі сплати аліментів видається органом державної виконавчої </w:t>
            </w:r>
            <w:r w:rsidRPr="00E25871">
              <w:rPr>
                <w:rFonts w:ascii="Times New Roman" w:eastAsia="Times New Roman" w:hAnsi="Times New Roman" w:cs="Times New Roman"/>
                <w:sz w:val="28"/>
                <w:szCs w:val="28"/>
              </w:rPr>
              <w:lastRenderedPageBreak/>
              <w:t>служби, приватним виконавцем у порядку, встановленому законом.</w:t>
            </w:r>
          </w:p>
          <w:p w:rsidR="00FF2AD7" w:rsidRPr="00E25871" w:rsidRDefault="00FF2AD7">
            <w:pPr>
              <w:jc w:val="both"/>
              <w:rPr>
                <w:rFonts w:ascii="Times New Roman" w:eastAsia="Times New Roman" w:hAnsi="Times New Roman" w:cs="Times New Roman"/>
                <w:b/>
                <w:sz w:val="28"/>
                <w:szCs w:val="28"/>
              </w:rPr>
            </w:pPr>
          </w:p>
        </w:tc>
        <w:tc>
          <w:tcPr>
            <w:tcW w:w="7290" w:type="dxa"/>
            <w:tcBorders>
              <w:top w:val="single" w:sz="6" w:space="0" w:color="000000"/>
              <w:left w:val="single" w:sz="6" w:space="0" w:color="000000"/>
              <w:bottom w:val="single" w:sz="6" w:space="0" w:color="000000"/>
              <w:right w:val="single" w:sz="6" w:space="0" w:color="000000"/>
            </w:tcBorders>
            <w:shd w:val="clear" w:color="auto" w:fill="auto"/>
            <w:tcMar>
              <w:top w:w="60" w:type="dxa"/>
              <w:left w:w="60" w:type="dxa"/>
              <w:bottom w:w="60" w:type="dxa"/>
              <w:right w:w="60" w:type="dxa"/>
            </w:tcMar>
          </w:tcPr>
          <w:p w:rsidR="00FF2AD7" w:rsidRPr="00E25871" w:rsidRDefault="00B41A00">
            <w:pPr>
              <w:spacing w:after="160"/>
              <w:ind w:firstLine="460"/>
              <w:jc w:val="both"/>
              <w:rPr>
                <w:rFonts w:ascii="Times New Roman" w:eastAsia="Times New Roman" w:hAnsi="Times New Roman" w:cs="Times New Roman"/>
                <w:b/>
                <w:sz w:val="28"/>
                <w:szCs w:val="28"/>
              </w:rPr>
            </w:pPr>
            <w:r w:rsidRPr="00E25871">
              <w:rPr>
                <w:rFonts w:ascii="Times New Roman" w:eastAsia="Times New Roman" w:hAnsi="Times New Roman" w:cs="Times New Roman"/>
                <w:sz w:val="28"/>
                <w:szCs w:val="28"/>
              </w:rPr>
              <w:lastRenderedPageBreak/>
              <w:t>Стаття 157. Вирішення батьками питань щодо виховання дитини</w:t>
            </w: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FF2AD7" w:rsidRPr="00E25871" w:rsidRDefault="00FF2AD7">
            <w:pPr>
              <w:jc w:val="both"/>
              <w:rPr>
                <w:rFonts w:ascii="Times New Roman" w:eastAsia="Times New Roman" w:hAnsi="Times New Roman" w:cs="Times New Roman"/>
                <w:b/>
                <w:sz w:val="28"/>
                <w:szCs w:val="28"/>
              </w:rPr>
            </w:pPr>
          </w:p>
          <w:p w:rsidR="00FF2AD7" w:rsidRPr="00E25871" w:rsidRDefault="00FF2AD7">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E25871" w:rsidRPr="00E25871" w:rsidRDefault="00E25871">
            <w:pPr>
              <w:ind w:firstLine="720"/>
              <w:jc w:val="both"/>
              <w:rPr>
                <w:rFonts w:ascii="Times New Roman" w:eastAsia="Times New Roman" w:hAnsi="Times New Roman" w:cs="Times New Roman"/>
                <w:b/>
                <w:sz w:val="28"/>
                <w:szCs w:val="28"/>
              </w:rPr>
            </w:pPr>
          </w:p>
          <w:p w:rsidR="00FF2AD7" w:rsidRPr="00E25871" w:rsidRDefault="00B41A00">
            <w:pPr>
              <w:ind w:firstLine="720"/>
              <w:jc w:val="both"/>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t>“3) самочинної, без згоди другого з батьків чи інших осіб, з якими на підставі закону або рішення суду проживала малолітня дитина, зміни її місця проживання, у тому числі способом її викрадення, внаслідок чого судом постановлено рішення про відібрання дитини і повернення її за попереднім місцем проживання (крім випадку, передбаченого абзацом другим частини першої статті 162 цього Кодексу)”.</w:t>
            </w:r>
          </w:p>
          <w:p w:rsidR="00FF2AD7" w:rsidRPr="00E25871" w:rsidRDefault="00FF2AD7">
            <w:pPr>
              <w:ind w:firstLine="720"/>
              <w:jc w:val="both"/>
              <w:rPr>
                <w:rFonts w:ascii="Times New Roman" w:eastAsia="Times New Roman" w:hAnsi="Times New Roman" w:cs="Times New Roman"/>
                <w:sz w:val="28"/>
                <w:szCs w:val="28"/>
              </w:rPr>
            </w:pPr>
          </w:p>
          <w:p w:rsidR="00FF2AD7" w:rsidRPr="00E25871" w:rsidRDefault="00FF2AD7">
            <w:pPr>
              <w:ind w:firstLine="720"/>
              <w:jc w:val="both"/>
              <w:rPr>
                <w:rFonts w:ascii="Times New Roman" w:eastAsia="Times New Roman" w:hAnsi="Times New Roman" w:cs="Times New Roman"/>
                <w:b/>
                <w:sz w:val="28"/>
                <w:szCs w:val="28"/>
              </w:rPr>
            </w:pPr>
          </w:p>
        </w:tc>
      </w:tr>
    </w:tbl>
    <w:p w:rsidR="00FF2AD7" w:rsidRPr="00E25871" w:rsidRDefault="00FF2AD7">
      <w:pPr>
        <w:jc w:val="center"/>
        <w:rPr>
          <w:rFonts w:ascii="Times New Roman" w:eastAsia="Times New Roman" w:hAnsi="Times New Roman" w:cs="Times New Roman"/>
          <w:b/>
          <w:sz w:val="28"/>
          <w:szCs w:val="28"/>
        </w:rPr>
      </w:pPr>
    </w:p>
    <w:p w:rsidR="00FF2AD7" w:rsidRPr="00E25871" w:rsidRDefault="00FF2AD7">
      <w:pPr>
        <w:jc w:val="both"/>
        <w:rPr>
          <w:rFonts w:ascii="Times New Roman" w:eastAsia="Times New Roman" w:hAnsi="Times New Roman" w:cs="Times New Roman"/>
          <w:b/>
          <w:sz w:val="28"/>
          <w:szCs w:val="28"/>
        </w:rPr>
      </w:pPr>
    </w:p>
    <w:p w:rsidR="00E25871" w:rsidRPr="004D1656" w:rsidRDefault="00E25871" w:rsidP="00E25871">
      <w:pPr>
        <w:spacing w:line="240" w:lineRule="auto"/>
        <w:jc w:val="both"/>
        <w:rPr>
          <w:rFonts w:ascii="Times New Roman" w:hAnsi="Times New Roman" w:cs="Times New Roman"/>
          <w:b/>
          <w:bCs/>
          <w:sz w:val="28"/>
          <w:szCs w:val="28"/>
          <w:lang w:eastAsia="ru-RU"/>
        </w:rPr>
      </w:pPr>
      <w:r w:rsidRPr="00CE6824">
        <w:rPr>
          <w:rFonts w:ascii="Times New Roman" w:hAnsi="Times New Roman" w:cs="Times New Roman"/>
          <w:b/>
          <w:bCs/>
          <w:sz w:val="28"/>
          <w:szCs w:val="28"/>
          <w:lang w:eastAsia="ru-RU"/>
        </w:rPr>
        <w:t xml:space="preserve">Народні депутати України   </w:t>
      </w:r>
      <w:r w:rsidRPr="00102E3E">
        <w:rPr>
          <w:rFonts w:ascii="Times New Roman" w:hAnsi="Times New Roman" w:cs="Times New Roman"/>
          <w:b/>
          <w:bCs/>
          <w:sz w:val="28"/>
          <w:szCs w:val="28"/>
          <w:lang w:eastAsia="ru-RU"/>
        </w:rPr>
        <w:t xml:space="preserve">                                                                                         </w:t>
      </w:r>
      <w:r>
        <w:rPr>
          <w:rFonts w:ascii="Times New Roman" w:hAnsi="Times New Roman" w:cs="Times New Roman"/>
          <w:b/>
          <w:bCs/>
          <w:sz w:val="28"/>
          <w:szCs w:val="28"/>
          <w:lang w:eastAsia="ru-RU"/>
        </w:rPr>
        <w:t xml:space="preserve">                     </w:t>
      </w:r>
      <w:r w:rsidRPr="00102E3E">
        <w:rPr>
          <w:rFonts w:ascii="Times New Roman" w:hAnsi="Times New Roman" w:cs="Times New Roman"/>
          <w:b/>
          <w:bCs/>
          <w:sz w:val="28"/>
          <w:szCs w:val="28"/>
          <w:lang w:eastAsia="ru-RU"/>
        </w:rPr>
        <w:t>Лубінець Д. В. (267)</w:t>
      </w:r>
    </w:p>
    <w:p w:rsidR="00FF2AD7" w:rsidRPr="00E25871" w:rsidRDefault="00B41A00">
      <w:pPr>
        <w:rPr>
          <w:rFonts w:ascii="Times New Roman" w:eastAsia="Times New Roman" w:hAnsi="Times New Roman" w:cs="Times New Roman"/>
          <w:b/>
          <w:sz w:val="28"/>
          <w:szCs w:val="28"/>
        </w:rPr>
      </w:pPr>
      <w:r w:rsidRPr="00E25871">
        <w:rPr>
          <w:rFonts w:ascii="Times New Roman" w:eastAsia="Times New Roman" w:hAnsi="Times New Roman" w:cs="Times New Roman"/>
          <w:b/>
          <w:sz w:val="28"/>
          <w:szCs w:val="28"/>
        </w:rPr>
        <w:tab/>
      </w:r>
      <w:r w:rsidRPr="00E25871">
        <w:rPr>
          <w:rFonts w:ascii="Times New Roman" w:eastAsia="Times New Roman" w:hAnsi="Times New Roman" w:cs="Times New Roman"/>
          <w:b/>
          <w:sz w:val="28"/>
          <w:szCs w:val="28"/>
        </w:rPr>
        <w:tab/>
      </w:r>
      <w:r w:rsidRPr="00E25871">
        <w:rPr>
          <w:rFonts w:ascii="Times New Roman" w:eastAsia="Times New Roman" w:hAnsi="Times New Roman" w:cs="Times New Roman"/>
          <w:b/>
          <w:sz w:val="28"/>
          <w:szCs w:val="28"/>
        </w:rPr>
        <w:tab/>
      </w:r>
      <w:r w:rsidRPr="00E25871">
        <w:rPr>
          <w:rFonts w:ascii="Times New Roman" w:eastAsia="Times New Roman" w:hAnsi="Times New Roman" w:cs="Times New Roman"/>
          <w:b/>
          <w:sz w:val="28"/>
          <w:szCs w:val="28"/>
        </w:rPr>
        <w:tab/>
      </w:r>
      <w:r w:rsidRPr="00E25871">
        <w:rPr>
          <w:rFonts w:ascii="Times New Roman" w:eastAsia="Times New Roman" w:hAnsi="Times New Roman" w:cs="Times New Roman"/>
          <w:b/>
          <w:sz w:val="28"/>
          <w:szCs w:val="28"/>
        </w:rPr>
        <w:tab/>
      </w:r>
      <w:r w:rsidRPr="00E25871">
        <w:rPr>
          <w:rFonts w:ascii="Times New Roman" w:eastAsia="Times New Roman" w:hAnsi="Times New Roman" w:cs="Times New Roman"/>
          <w:b/>
          <w:sz w:val="28"/>
          <w:szCs w:val="28"/>
        </w:rPr>
        <w:tab/>
      </w:r>
      <w:r w:rsidRPr="00E25871">
        <w:rPr>
          <w:rFonts w:ascii="Times New Roman" w:eastAsia="Times New Roman" w:hAnsi="Times New Roman" w:cs="Times New Roman"/>
          <w:b/>
          <w:sz w:val="28"/>
          <w:szCs w:val="28"/>
        </w:rPr>
        <w:tab/>
      </w:r>
    </w:p>
    <w:p w:rsidR="00FF2AD7" w:rsidRDefault="00B41A00">
      <w:pPr>
        <w:ind w:left="7960" w:firstLine="540"/>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p>
    <w:p w:rsidR="00FF2AD7" w:rsidRDefault="00FF2AD7">
      <w:pPr>
        <w:rPr>
          <w:rFonts w:ascii="Times New Roman" w:eastAsia="Times New Roman" w:hAnsi="Times New Roman" w:cs="Times New Roman"/>
          <w:b/>
          <w:sz w:val="20"/>
          <w:szCs w:val="20"/>
        </w:rPr>
      </w:pPr>
    </w:p>
    <w:p w:rsidR="00FF2AD7" w:rsidRDefault="00FF2AD7">
      <w:pPr>
        <w:rPr>
          <w:sz w:val="20"/>
          <w:szCs w:val="20"/>
        </w:rPr>
      </w:pPr>
    </w:p>
    <w:p w:rsidR="00FF2AD7" w:rsidRDefault="00FF2AD7"/>
    <w:p w:rsidR="00FF2AD7" w:rsidRDefault="00FF2AD7"/>
    <w:sectPr w:rsidR="00FF2AD7">
      <w:headerReference w:type="even" r:id="rId9"/>
      <w:headerReference w:type="default" r:id="rId10"/>
      <w:footerReference w:type="even" r:id="rId11"/>
      <w:footerReference w:type="default" r:id="rId12"/>
      <w:headerReference w:type="first" r:id="rId13"/>
      <w:footerReference w:type="first" r:id="rId14"/>
      <w:pgSz w:w="16834" w:h="11909"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F6D" w:rsidRDefault="004A2F6D" w:rsidP="000F4C9E">
      <w:pPr>
        <w:spacing w:line="240" w:lineRule="auto"/>
      </w:pPr>
      <w:r>
        <w:separator/>
      </w:r>
    </w:p>
  </w:endnote>
  <w:endnote w:type="continuationSeparator" w:id="0">
    <w:p w:rsidR="004A2F6D" w:rsidRDefault="004A2F6D" w:rsidP="000F4C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9E" w:rsidRDefault="000F4C9E">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9E" w:rsidRDefault="000F4C9E">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9E" w:rsidRDefault="000F4C9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F6D" w:rsidRDefault="004A2F6D" w:rsidP="000F4C9E">
      <w:pPr>
        <w:spacing w:line="240" w:lineRule="auto"/>
      </w:pPr>
      <w:r>
        <w:separator/>
      </w:r>
    </w:p>
  </w:footnote>
  <w:footnote w:type="continuationSeparator" w:id="0">
    <w:p w:rsidR="004A2F6D" w:rsidRDefault="004A2F6D" w:rsidP="000F4C9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9E" w:rsidRDefault="000F4C9E">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9E" w:rsidRDefault="000F4C9E">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9E" w:rsidRDefault="000F4C9E">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AD7"/>
    <w:rsid w:val="000F4C9E"/>
    <w:rsid w:val="004A2F6D"/>
    <w:rsid w:val="0089370A"/>
    <w:rsid w:val="00B41A00"/>
    <w:rsid w:val="00CB3D9A"/>
    <w:rsid w:val="00E25871"/>
    <w:rsid w:val="00FF2A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paragraph" w:styleId="a6">
    <w:name w:val="header"/>
    <w:basedOn w:val="a"/>
    <w:link w:val="a7"/>
    <w:uiPriority w:val="99"/>
    <w:unhideWhenUsed/>
    <w:rsid w:val="000F4C9E"/>
    <w:pPr>
      <w:tabs>
        <w:tab w:val="center" w:pos="4819"/>
        <w:tab w:val="right" w:pos="9639"/>
      </w:tabs>
      <w:spacing w:line="240" w:lineRule="auto"/>
    </w:pPr>
  </w:style>
  <w:style w:type="character" w:customStyle="1" w:styleId="a7">
    <w:name w:val="Верхній колонтитул Знак"/>
    <w:basedOn w:val="a0"/>
    <w:link w:val="a6"/>
    <w:uiPriority w:val="99"/>
    <w:rsid w:val="000F4C9E"/>
  </w:style>
  <w:style w:type="paragraph" w:styleId="a8">
    <w:name w:val="footer"/>
    <w:basedOn w:val="a"/>
    <w:link w:val="a9"/>
    <w:uiPriority w:val="99"/>
    <w:unhideWhenUsed/>
    <w:rsid w:val="000F4C9E"/>
    <w:pPr>
      <w:tabs>
        <w:tab w:val="center" w:pos="4819"/>
        <w:tab w:val="right" w:pos="9639"/>
      </w:tabs>
      <w:spacing w:line="240" w:lineRule="auto"/>
    </w:pPr>
  </w:style>
  <w:style w:type="character" w:customStyle="1" w:styleId="a9">
    <w:name w:val="Нижній колонтитул Знак"/>
    <w:basedOn w:val="a0"/>
    <w:link w:val="a8"/>
    <w:uiPriority w:val="99"/>
    <w:rsid w:val="000F4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E0ACF-4CAC-44F4-96F4-D1EAB6319C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259CD1-BBB2-4537-882E-44EDCB305542}">
  <ds:schemaRefs>
    <ds:schemaRef ds:uri="http://schemas.microsoft.com/sharepoint/v3/contenttype/forms"/>
  </ds:schemaRefs>
</ds:datastoreItem>
</file>

<file path=customXml/itemProps3.xml><?xml version="1.0" encoding="utf-8"?>
<ds:datastoreItem xmlns:ds="http://schemas.openxmlformats.org/officeDocument/2006/customXml" ds:itemID="{917BAADC-7312-497C-BFC1-65FFAC10B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4265</Words>
  <Characters>2432</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2021-05-21T13:36:00Z</dcterms:created>
  <dcterms:modified xsi:type="dcterms:W3CDTF">2021-05-21T13:36:00Z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