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18E17891" w:rsidR="003831EC" w:rsidRPr="00B07C17" w:rsidRDefault="00B64C1D" w:rsidP="00B07C17">
      <w:pPr>
        <w:pStyle w:val="ab"/>
        <w:ind w:firstLine="709"/>
        <w:jc w:val="right"/>
        <w:rPr>
          <w:rFonts w:ascii="Times New Roman" w:hAnsi="Times New Roman" w:cs="Times New Roman"/>
          <w:sz w:val="28"/>
          <w:szCs w:val="28"/>
        </w:rPr>
      </w:pPr>
      <w:r w:rsidRPr="00B07C17">
        <w:rPr>
          <w:rFonts w:ascii="Times New Roman" w:hAnsi="Times New Roman" w:cs="Times New Roman"/>
          <w:sz w:val="28"/>
          <w:szCs w:val="28"/>
        </w:rPr>
        <w:t xml:space="preserve">Проект вноситься </w:t>
      </w:r>
    </w:p>
    <w:p w14:paraId="00000002" w14:textId="2A24CC20" w:rsidR="003831EC" w:rsidRDefault="00B64C1D" w:rsidP="00B07C17">
      <w:pPr>
        <w:pStyle w:val="ab"/>
        <w:ind w:firstLine="709"/>
        <w:jc w:val="right"/>
        <w:rPr>
          <w:rFonts w:ascii="Times New Roman" w:hAnsi="Times New Roman" w:cs="Times New Roman"/>
          <w:sz w:val="28"/>
          <w:szCs w:val="28"/>
        </w:rPr>
      </w:pPr>
      <w:r w:rsidRPr="00B07C17">
        <w:rPr>
          <w:rFonts w:ascii="Times New Roman" w:hAnsi="Times New Roman" w:cs="Times New Roman"/>
          <w:sz w:val="28"/>
          <w:szCs w:val="28"/>
        </w:rPr>
        <w:t>народними депутатами України</w:t>
      </w:r>
      <w:r w:rsidR="00FD4F08">
        <w:rPr>
          <w:rFonts w:ascii="Times New Roman" w:hAnsi="Times New Roman" w:cs="Times New Roman"/>
          <w:sz w:val="28"/>
          <w:szCs w:val="28"/>
        </w:rPr>
        <w:t xml:space="preserve"> – членами Комітету</w:t>
      </w:r>
      <w:r w:rsidR="00E86EE3">
        <w:rPr>
          <w:rFonts w:ascii="Times New Roman" w:hAnsi="Times New Roman" w:cs="Times New Roman"/>
          <w:sz w:val="28"/>
          <w:szCs w:val="28"/>
        </w:rPr>
        <w:t xml:space="preserve"> </w:t>
      </w:r>
    </w:p>
    <w:p w14:paraId="64B6CDB3" w14:textId="08DCD400" w:rsidR="00B07C17" w:rsidRDefault="00E86EE3" w:rsidP="00B07C17">
      <w:pPr>
        <w:pStyle w:val="ab"/>
        <w:ind w:firstLine="709"/>
        <w:jc w:val="right"/>
        <w:rPr>
          <w:rFonts w:ascii="Times New Roman" w:hAnsi="Times New Roman" w:cs="Times New Roman"/>
          <w:sz w:val="28"/>
          <w:szCs w:val="28"/>
        </w:rPr>
      </w:pPr>
      <w:proofErr w:type="spellStart"/>
      <w:r>
        <w:rPr>
          <w:rFonts w:ascii="Times New Roman" w:hAnsi="Times New Roman" w:cs="Times New Roman"/>
          <w:sz w:val="28"/>
          <w:szCs w:val="28"/>
        </w:rPr>
        <w:t>Шипайлом</w:t>
      </w:r>
      <w:proofErr w:type="spellEnd"/>
      <w:r>
        <w:rPr>
          <w:rFonts w:ascii="Times New Roman" w:hAnsi="Times New Roman" w:cs="Times New Roman"/>
          <w:sz w:val="28"/>
          <w:szCs w:val="28"/>
        </w:rPr>
        <w:t xml:space="preserve"> О.І</w:t>
      </w:r>
      <w:r w:rsidR="009E12AD">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Камельчуком</w:t>
      </w:r>
      <w:proofErr w:type="spellEnd"/>
      <w:r>
        <w:rPr>
          <w:rFonts w:ascii="Times New Roman" w:hAnsi="Times New Roman" w:cs="Times New Roman"/>
          <w:sz w:val="28"/>
          <w:szCs w:val="28"/>
        </w:rPr>
        <w:t xml:space="preserve"> Ю.О., </w:t>
      </w:r>
      <w:proofErr w:type="spellStart"/>
      <w:r>
        <w:rPr>
          <w:rFonts w:ascii="Times New Roman" w:hAnsi="Times New Roman" w:cs="Times New Roman"/>
          <w:sz w:val="28"/>
          <w:szCs w:val="28"/>
        </w:rPr>
        <w:t>Семінським</w:t>
      </w:r>
      <w:proofErr w:type="spellEnd"/>
      <w:r>
        <w:rPr>
          <w:rFonts w:ascii="Times New Roman" w:hAnsi="Times New Roman" w:cs="Times New Roman"/>
          <w:sz w:val="28"/>
          <w:szCs w:val="28"/>
        </w:rPr>
        <w:t xml:space="preserve"> О.В.,</w:t>
      </w:r>
    </w:p>
    <w:p w14:paraId="16632855" w14:textId="6992C551" w:rsidR="00B07C17" w:rsidRDefault="00E86EE3" w:rsidP="00B07C17">
      <w:pPr>
        <w:pStyle w:val="ab"/>
        <w:ind w:firstLine="709"/>
        <w:jc w:val="right"/>
        <w:rPr>
          <w:rFonts w:ascii="Times New Roman" w:hAnsi="Times New Roman" w:cs="Times New Roman"/>
          <w:sz w:val="28"/>
          <w:szCs w:val="28"/>
        </w:rPr>
      </w:pPr>
      <w:r>
        <w:rPr>
          <w:rFonts w:ascii="Times New Roman" w:hAnsi="Times New Roman" w:cs="Times New Roman"/>
          <w:sz w:val="28"/>
          <w:szCs w:val="28"/>
        </w:rPr>
        <w:t xml:space="preserve">Муликом Р.М., Пивоваровим Є.П., </w:t>
      </w:r>
      <w:proofErr w:type="spellStart"/>
      <w:r>
        <w:rPr>
          <w:rFonts w:ascii="Times New Roman" w:hAnsi="Times New Roman" w:cs="Times New Roman"/>
          <w:sz w:val="28"/>
          <w:szCs w:val="28"/>
        </w:rPr>
        <w:t>Нагорняком</w:t>
      </w:r>
      <w:proofErr w:type="spellEnd"/>
      <w:r>
        <w:rPr>
          <w:rFonts w:ascii="Times New Roman" w:hAnsi="Times New Roman" w:cs="Times New Roman"/>
          <w:sz w:val="28"/>
          <w:szCs w:val="28"/>
        </w:rPr>
        <w:t xml:space="preserve"> С.В., </w:t>
      </w:r>
    </w:p>
    <w:p w14:paraId="58DF86C3" w14:textId="43B93858" w:rsidR="00B07C17" w:rsidRDefault="00E86EE3" w:rsidP="00B07C17">
      <w:pPr>
        <w:pStyle w:val="ab"/>
        <w:ind w:firstLine="709"/>
        <w:jc w:val="right"/>
        <w:rPr>
          <w:rFonts w:ascii="Times New Roman" w:hAnsi="Times New Roman" w:cs="Times New Roman"/>
          <w:sz w:val="28"/>
          <w:szCs w:val="28"/>
        </w:rPr>
      </w:pPr>
      <w:proofErr w:type="spellStart"/>
      <w:r>
        <w:rPr>
          <w:rFonts w:ascii="Times New Roman" w:hAnsi="Times New Roman" w:cs="Times New Roman"/>
          <w:sz w:val="28"/>
          <w:szCs w:val="28"/>
        </w:rPr>
        <w:t>Костюхом</w:t>
      </w:r>
      <w:proofErr w:type="spellEnd"/>
      <w:r>
        <w:rPr>
          <w:rFonts w:ascii="Times New Roman" w:hAnsi="Times New Roman" w:cs="Times New Roman"/>
          <w:sz w:val="28"/>
          <w:szCs w:val="28"/>
        </w:rPr>
        <w:t xml:space="preserve"> А.В. та іншими </w:t>
      </w:r>
    </w:p>
    <w:p w14:paraId="70F0F924" w14:textId="2CFB2ECD" w:rsidR="00B07C17" w:rsidRDefault="00B07C17" w:rsidP="00B07C17">
      <w:pPr>
        <w:pStyle w:val="ab"/>
        <w:ind w:firstLine="709"/>
        <w:jc w:val="right"/>
        <w:rPr>
          <w:rFonts w:ascii="Times New Roman" w:hAnsi="Times New Roman" w:cs="Times New Roman"/>
          <w:sz w:val="28"/>
          <w:szCs w:val="28"/>
        </w:rPr>
      </w:pPr>
    </w:p>
    <w:p w14:paraId="3B3F3B33" w14:textId="32DF88DB" w:rsidR="00B07C17" w:rsidRDefault="00B07C17" w:rsidP="00B07C17">
      <w:pPr>
        <w:pStyle w:val="ab"/>
        <w:ind w:firstLine="709"/>
        <w:jc w:val="right"/>
        <w:rPr>
          <w:rFonts w:ascii="Times New Roman" w:hAnsi="Times New Roman" w:cs="Times New Roman"/>
          <w:sz w:val="28"/>
          <w:szCs w:val="28"/>
        </w:rPr>
      </w:pPr>
      <w:bookmarkStart w:id="0" w:name="_GoBack"/>
      <w:bookmarkEnd w:id="0"/>
    </w:p>
    <w:p w14:paraId="4491F5A7" w14:textId="0C9312AC" w:rsidR="00B07C17" w:rsidRDefault="00B07C17" w:rsidP="00B07C17">
      <w:pPr>
        <w:pStyle w:val="ab"/>
        <w:ind w:firstLine="709"/>
        <w:jc w:val="right"/>
        <w:rPr>
          <w:rFonts w:ascii="Times New Roman" w:hAnsi="Times New Roman" w:cs="Times New Roman"/>
          <w:sz w:val="28"/>
          <w:szCs w:val="28"/>
        </w:rPr>
      </w:pPr>
    </w:p>
    <w:p w14:paraId="01401798" w14:textId="79B20C97" w:rsidR="00B07C17" w:rsidRDefault="00B07C17" w:rsidP="00B07C17">
      <w:pPr>
        <w:pStyle w:val="ab"/>
        <w:ind w:firstLine="709"/>
        <w:jc w:val="right"/>
        <w:rPr>
          <w:rFonts w:ascii="Times New Roman" w:hAnsi="Times New Roman" w:cs="Times New Roman"/>
          <w:sz w:val="28"/>
          <w:szCs w:val="28"/>
        </w:rPr>
      </w:pPr>
    </w:p>
    <w:p w14:paraId="3E99E95A" w14:textId="3199FC23" w:rsidR="00B07C17" w:rsidRDefault="00B07C17" w:rsidP="00B07C17">
      <w:pPr>
        <w:pStyle w:val="ab"/>
        <w:ind w:firstLine="709"/>
        <w:jc w:val="right"/>
        <w:rPr>
          <w:rFonts w:ascii="Times New Roman" w:hAnsi="Times New Roman" w:cs="Times New Roman"/>
          <w:sz w:val="28"/>
          <w:szCs w:val="28"/>
        </w:rPr>
      </w:pPr>
    </w:p>
    <w:p w14:paraId="7B6A8767" w14:textId="12FC2FD4" w:rsidR="00B07C17" w:rsidRDefault="00B07C17" w:rsidP="00B07C17">
      <w:pPr>
        <w:pStyle w:val="ab"/>
        <w:ind w:firstLine="709"/>
        <w:jc w:val="right"/>
        <w:rPr>
          <w:rFonts w:ascii="Times New Roman" w:hAnsi="Times New Roman" w:cs="Times New Roman"/>
          <w:sz w:val="28"/>
          <w:szCs w:val="28"/>
        </w:rPr>
      </w:pPr>
    </w:p>
    <w:p w14:paraId="6FC3A377" w14:textId="316B2516" w:rsidR="00B07C17" w:rsidRDefault="00B07C17" w:rsidP="00B07C17">
      <w:pPr>
        <w:pStyle w:val="ab"/>
        <w:ind w:firstLine="709"/>
        <w:jc w:val="right"/>
        <w:rPr>
          <w:rFonts w:ascii="Times New Roman" w:hAnsi="Times New Roman" w:cs="Times New Roman"/>
          <w:sz w:val="28"/>
          <w:szCs w:val="28"/>
        </w:rPr>
      </w:pPr>
    </w:p>
    <w:p w14:paraId="767A91A8" w14:textId="171EFCD0" w:rsidR="00B07C17" w:rsidRDefault="00B07C17" w:rsidP="00B07C17">
      <w:pPr>
        <w:pStyle w:val="ab"/>
        <w:ind w:firstLine="709"/>
        <w:jc w:val="right"/>
        <w:rPr>
          <w:rFonts w:ascii="Times New Roman" w:hAnsi="Times New Roman" w:cs="Times New Roman"/>
          <w:sz w:val="28"/>
          <w:szCs w:val="28"/>
        </w:rPr>
      </w:pPr>
    </w:p>
    <w:p w14:paraId="1AD5772E" w14:textId="77777777" w:rsidR="00B07C17" w:rsidRPr="00B07C17" w:rsidRDefault="00B07C17" w:rsidP="00B07C17">
      <w:pPr>
        <w:pStyle w:val="ab"/>
        <w:ind w:firstLine="709"/>
        <w:jc w:val="right"/>
        <w:rPr>
          <w:rFonts w:ascii="Times New Roman" w:hAnsi="Times New Roman" w:cs="Times New Roman"/>
          <w:sz w:val="28"/>
          <w:szCs w:val="28"/>
        </w:rPr>
      </w:pPr>
    </w:p>
    <w:p w14:paraId="00000003" w14:textId="77777777" w:rsidR="003831EC" w:rsidRPr="00B07C17" w:rsidRDefault="003831EC" w:rsidP="00B07C17">
      <w:pPr>
        <w:pStyle w:val="ab"/>
        <w:ind w:firstLine="709"/>
        <w:jc w:val="both"/>
        <w:rPr>
          <w:rFonts w:ascii="Times New Roman" w:hAnsi="Times New Roman" w:cs="Times New Roman"/>
          <w:sz w:val="28"/>
          <w:szCs w:val="28"/>
        </w:rPr>
      </w:pPr>
    </w:p>
    <w:p w14:paraId="00000004" w14:textId="77777777" w:rsidR="003831EC" w:rsidRPr="00B07C17" w:rsidRDefault="003831EC" w:rsidP="00B07C17">
      <w:pPr>
        <w:pStyle w:val="ab"/>
        <w:ind w:firstLine="709"/>
        <w:jc w:val="both"/>
        <w:rPr>
          <w:rFonts w:ascii="Times New Roman" w:hAnsi="Times New Roman" w:cs="Times New Roman"/>
          <w:sz w:val="28"/>
          <w:szCs w:val="28"/>
        </w:rPr>
      </w:pPr>
    </w:p>
    <w:p w14:paraId="00000005" w14:textId="77777777" w:rsidR="003831EC" w:rsidRPr="00B07C17" w:rsidRDefault="00B64C1D" w:rsidP="00B07C17">
      <w:pPr>
        <w:pStyle w:val="ab"/>
        <w:jc w:val="center"/>
        <w:rPr>
          <w:rFonts w:ascii="Times New Roman" w:hAnsi="Times New Roman" w:cs="Times New Roman"/>
          <w:b/>
          <w:sz w:val="28"/>
          <w:szCs w:val="28"/>
        </w:rPr>
      </w:pPr>
      <w:r w:rsidRPr="00B07C17">
        <w:rPr>
          <w:rFonts w:ascii="Times New Roman" w:hAnsi="Times New Roman" w:cs="Times New Roman"/>
          <w:b/>
          <w:sz w:val="28"/>
          <w:szCs w:val="28"/>
        </w:rPr>
        <w:t>З А К О Н  У К Р А Ї Н И</w:t>
      </w:r>
    </w:p>
    <w:p w14:paraId="00000006" w14:textId="77777777" w:rsidR="003831EC" w:rsidRPr="00B07C17" w:rsidRDefault="003831EC" w:rsidP="00B07C17">
      <w:pPr>
        <w:pStyle w:val="ab"/>
        <w:jc w:val="center"/>
        <w:rPr>
          <w:rFonts w:ascii="Times New Roman" w:hAnsi="Times New Roman" w:cs="Times New Roman"/>
          <w:b/>
          <w:sz w:val="28"/>
          <w:szCs w:val="28"/>
        </w:rPr>
      </w:pPr>
    </w:p>
    <w:p w14:paraId="00000007" w14:textId="77777777" w:rsidR="003831EC" w:rsidRPr="00B07C17" w:rsidRDefault="00B64C1D" w:rsidP="00B07C17">
      <w:pPr>
        <w:pStyle w:val="ab"/>
        <w:jc w:val="center"/>
        <w:rPr>
          <w:rFonts w:ascii="Times New Roman" w:hAnsi="Times New Roman" w:cs="Times New Roman"/>
          <w:b/>
          <w:sz w:val="28"/>
          <w:szCs w:val="28"/>
        </w:rPr>
      </w:pPr>
      <w:r w:rsidRPr="00B07C17">
        <w:rPr>
          <w:rFonts w:ascii="Times New Roman" w:hAnsi="Times New Roman" w:cs="Times New Roman"/>
          <w:b/>
          <w:sz w:val="28"/>
          <w:szCs w:val="28"/>
        </w:rPr>
        <w:t>Про заходи, спрямовані на подолання кризових явищ та забезпечення фінансової стабільності на ринку природного газу</w:t>
      </w:r>
    </w:p>
    <w:p w14:paraId="00000008" w14:textId="77777777" w:rsidR="003831EC" w:rsidRPr="00B07C17" w:rsidRDefault="003831EC" w:rsidP="00B07C17">
      <w:pPr>
        <w:pStyle w:val="ab"/>
        <w:ind w:firstLine="709"/>
        <w:jc w:val="both"/>
        <w:rPr>
          <w:rFonts w:ascii="Times New Roman" w:hAnsi="Times New Roman" w:cs="Times New Roman"/>
          <w:sz w:val="28"/>
          <w:szCs w:val="28"/>
        </w:rPr>
      </w:pPr>
    </w:p>
    <w:p w14:paraId="0000000A" w14:textId="4BC50F61"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Розділ I</w:t>
      </w:r>
      <w:r w:rsidR="00B07C17">
        <w:rPr>
          <w:rFonts w:ascii="Times New Roman" w:hAnsi="Times New Roman" w:cs="Times New Roman"/>
          <w:sz w:val="28"/>
          <w:szCs w:val="28"/>
        </w:rPr>
        <w:t xml:space="preserve">. </w:t>
      </w:r>
      <w:r w:rsidRPr="00B07C17">
        <w:rPr>
          <w:rFonts w:ascii="Times New Roman" w:hAnsi="Times New Roman" w:cs="Times New Roman"/>
          <w:sz w:val="28"/>
          <w:szCs w:val="28"/>
        </w:rPr>
        <w:t>ЗАГАЛЬНІ ПОЛОЖЕННЯ</w:t>
      </w:r>
    </w:p>
    <w:p w14:paraId="0000000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Стаття 1. Визначення термінів</w:t>
      </w:r>
    </w:p>
    <w:p w14:paraId="0000000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цьому Законі терміни вживаються в такому значенні:</w:t>
      </w:r>
    </w:p>
    <w:p w14:paraId="0000000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взаєморозрахунки - розрахунки з погашення заборгованості суб’єктів ринку природного газу, що проводяться за рахунок видатків державного бюджету учасниками процедури врегулювання заборгованості;</w:t>
      </w:r>
    </w:p>
    <w:p w14:paraId="0000001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договір про організацію взаєморозрахунків - договір, який укладається учасниками процедури врегулювання заборгованості суб’єктів ринку природного газу для погашення заборгованості та є підставою для проведення взаєморозрахунків відповідно до цього Закону;</w:t>
      </w:r>
    </w:p>
    <w:p w14:paraId="0000001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заборгованість суб’єктів ринку природного газу, що підлягає врегулюванню відповідно до цього Закону (далі - заборгованість):</w:t>
      </w:r>
    </w:p>
    <w:p w14:paraId="0000001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заборгованість постачальників природного газу, в тому числі підтверджена судовими рішеннями, які набрали законної сили, за договорами купівлі-продажу (постачання) природного газу для постачання побутовим споживачам (в тому числі суми неустойки (штрафів, пені), інфляційних нарахувань, процентів річних, нарахованих на заборгованість за спожитий природний газ або за прострочення її сплати), що не сплачена станом на розрахункову дату;</w:t>
      </w:r>
    </w:p>
    <w:p w14:paraId="0000001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заборгованість постачальників природного газу, в тому числі підтверджена судовими рішеннями, які набрали законної сили, за договорами про надання послуг транспортування природного газу перед особою, що здійснює функції оператора газотранспортної системи з 1 січня 2020 року, що не сплачена станом на розрахункову дату;</w:t>
      </w:r>
    </w:p>
    <w:p w14:paraId="0000001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 заборгованість операторів газорозподільних систем, в тому числі підтверджена судовими рішеннями, які набрали законної сили, за договорами </w:t>
      </w:r>
      <w:r w:rsidRPr="00B07C17">
        <w:rPr>
          <w:rFonts w:ascii="Times New Roman" w:hAnsi="Times New Roman" w:cs="Times New Roman"/>
          <w:sz w:val="28"/>
          <w:szCs w:val="28"/>
        </w:rPr>
        <w:lastRenderedPageBreak/>
        <w:t>транспортування природного газу перед особою, що здійснювала функції оператора газотранспортної системи до 31 грудня 2019 року включно та не сплачена станом на розрахункову дату;</w:t>
      </w:r>
    </w:p>
    <w:p w14:paraId="0000001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заборгованість операторів газорозподільних систем, в тому числі підтверджена судовими рішеннями, які набрали законної сили, та/або реструктуризована, за договорами транспортування природного газу,  укладеними з особою, що здійснює функції оператора газотранспортної системи з 1 січня 2020 року, не сплачена станом на розрахункову дату;</w:t>
      </w:r>
    </w:p>
    <w:p w14:paraId="00000016" w14:textId="27BDC450"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заборгованість операторів газорозподільних систем, в тому числі підтверджена судовими рішеннями, які набрали законної сили, та/або реструктуризована, за договорами купівлі-продажу природного газу для виробничо-технологічних потреб, укладеними з акціонерним товариством "Національна акціонерна компанія "Нафтогаз України" (далі - НАК "Нафтогаз України", що не сплачена станом на розрахункову дату;</w:t>
      </w:r>
    </w:p>
    <w:p w14:paraId="0000001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заборгованість постачальників природного газу, в тому числі підтверджена судовими рішеннями, які набрали законної сили, за договорами про надання послуг транспортування природного газу перед особою, що здійснювала функції оператора газотранспортної системи до 31 грудня 2019 року включно, що не сплачена станом на розрахункову дату;</w:t>
      </w:r>
    </w:p>
    <w:p w14:paraId="00000018" w14:textId="3B5534CC"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заборгованість особи, що здійснювала функції оператора газотранспортної системи до 31 грудня 2019 року включно, перед  НАК "Нафтогаз України" та не сплачена станом на розрахункову дату;</w:t>
      </w:r>
    </w:p>
    <w:p w14:paraId="0000001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заборгованість особи, що здійснює функції оператора газотранспортної системи з 1 січня 2020 року, перед НАК "Нафтогаз України" та не сплачена станом на розрахункову дату;</w:t>
      </w:r>
    </w:p>
    <w:p w14:paraId="0000001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дебіторська заборгованість побутових споживачів, у тому числі безнадійна та сумнівна заборгованість, що обліковується у постачальників природного газу в розмірі вартості обсягів приведення обсягів споживання до стандартних умов та вартості обсягів, які виникли в зв’язку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у період з 1 жовтня 2014 року до розрахункової дати, та не сплачена станом на розрахункову дату,;</w:t>
      </w:r>
    </w:p>
    <w:p w14:paraId="0000001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процедура врегулювання заборгованості суб’єктів ринку природного газу - заходи, спрямовані на урегулювання заборгованості за природний газ та послуги його транспортування шляхом проведення взаєморозрахунків та реструктуризації заборгованості;</w:t>
      </w:r>
    </w:p>
    <w:p w14:paraId="0000001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реєстр підприємств, що беруть участь у процедурі врегулювання заборгованості суб’єктів ринку природного газу (далі - Реєстр) - відкритий, загальнодоступний перелік підприємств та організації, які є учасниками процедури врегулювання заборгованості відповідно до цього Закону. Реєстр розміщується на офіційному веб-сайті Національної комісії, що здійснює державне регулювання енергетики та комунальних послуг;</w:t>
      </w:r>
    </w:p>
    <w:p w14:paraId="0000001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розрахункова дата – 31 грудня 2020 року;</w:t>
      </w:r>
    </w:p>
    <w:p w14:paraId="0000001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суб’єкт аудиторської діяльності в цілях реалізації положень статті 4 цього Закону - суб’єкт аудиторської діяльності, внесений до розділу Реєстру аудиторів та суб’єктів аудиторської діяльності, що ведеться відповідно до закону, в частині суб’єктів аудиторської діяльності, які мають право проводити обов’язковий аудит фінансової звітності підприємств, що становлять суспільний інтерес та не менш як 10 працівників якого повинні мати сертифікат, що визначає їх кваліфікаційну придатність на заняття аудиторською діяльністю на території України при тому, що не менш як 5 його працівників повинні мати принаймні один документ, що засвідчує проходження повної програми сертифікації, виданий однією з організацій, що є членом Міжнародної федерації бухгалтерів (IFAC), а саме Асоціацією присяжних сертифікованих бухгалтерів (ACCA), Американським інститутом сертифікованих громадських бухгалтерів (AICPA), Інститутом присяжних бухгалтерів Англії і Уельсу (ICAEW), а також у складі якого не менш як 60 працівників безпосередньо залучені до надання аудиторських послуг і працюють на умовах повної зайнятості та з якими укладений трудовий договір;</w:t>
      </w:r>
    </w:p>
    <w:p w14:paraId="0000001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учасники процедури врегулювання заборгованості - підприємства та організації, включені до Реєстру, зокрема: постачальники природного газу, оператори газорозподільних систем, особа, що здійснювала функції оператора газотранспортної системи до 31 грудня 2019 року включно, особа, що здійснює функції оператора газотранспортної системи з 1 січня 2020 року, НАК "Нафтогаз України", розпорядники коштів державного бюджету, органи, що здійснюють казначейське обслуговування бюджетних коштів.</w:t>
      </w:r>
    </w:p>
    <w:p w14:paraId="0000002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Стаття 2. Сфера дії Закону</w:t>
      </w:r>
    </w:p>
    <w:p w14:paraId="0000002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Дія цього Закону поширюється на відносини із врегулювання заборгованості за придбаний у НАК "Нафтогаз України" природний газ, послуги його розподілу та транспортування, та виключно на суб’єктів ринку природного газу, які включені до Реєстру підприємств, що беруть учать у процедурі врегулювання заборгованості згідно з цим Законом.</w:t>
      </w:r>
    </w:p>
    <w:p w14:paraId="0000002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Стаття 3. Порядок участі у процедурі врегулювання заборгованості</w:t>
      </w:r>
    </w:p>
    <w:p w14:paraId="0000002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Для участі у процедурі врегулювання заборгованості суб’єкти ринку природного газу включаються до Реєстру, який веде Національна комісія, що здійснює державне регулювання у сферах енергетики та комунальних послуг.</w:t>
      </w:r>
    </w:p>
    <w:p w14:paraId="0000002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 Для включення до Реєстру суб’єкти ринку природного газу подають Національній комісії, що здійснює державне регулювання у сферах енергетики та комунальних послуг, заяву, до якої додаються:</w:t>
      </w:r>
    </w:p>
    <w:p w14:paraId="0000002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копії установчих документів;</w:t>
      </w:r>
    </w:p>
    <w:p w14:paraId="0000002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копії наявних ліцензій на провадження певних видів господарської діяльності;</w:t>
      </w:r>
    </w:p>
    <w:p w14:paraId="0000002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довідка, складена підприємством (організацією) у довільній формі, про обсяги та структуру дебіторської та кредиторської заборгованостей із зазначенням кредиторів, дебіторів, величини і видів заборгованості станом на розрахункову дату та за останній звітний період;</w:t>
      </w:r>
    </w:p>
    <w:p w14:paraId="0000002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копії актів звіряння взаєморозрахунків між суб’єктами ринку природного газу;</w:t>
      </w:r>
    </w:p>
    <w:p w14:paraId="0000002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 розрахунок неоплаченої вартості обсягів природного газу, відображеної в обліку постачальників природного газу в період з 1 жовтня 2014 року до розрахункової дати в зв'язку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підтверджений висновком суб’єкта аудиторської діяльності. Такий розрахунок затверджується  на підставі вказаного висновку Національною комісією, що здійснює державне регулювання у сферах енергетики та комунальних послуг;</w:t>
      </w:r>
    </w:p>
    <w:p w14:paraId="0000002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 розрахунок заборгованості постачальника природного газу в межах обсягів приведення до стандартних умов відповідно до Методики визначення питомих втрат природного газу при його вимірюваннях побутовими лічильниками в разі </w:t>
      </w:r>
      <w:proofErr w:type="spellStart"/>
      <w:r w:rsidRPr="00B07C17">
        <w:rPr>
          <w:rFonts w:ascii="Times New Roman" w:hAnsi="Times New Roman" w:cs="Times New Roman"/>
          <w:sz w:val="28"/>
          <w:szCs w:val="28"/>
        </w:rPr>
        <w:t>неприведення</w:t>
      </w:r>
      <w:proofErr w:type="spellEnd"/>
      <w:r w:rsidRPr="00B07C17">
        <w:rPr>
          <w:rFonts w:ascii="Times New Roman" w:hAnsi="Times New Roman" w:cs="Times New Roman"/>
          <w:sz w:val="28"/>
          <w:szCs w:val="28"/>
        </w:rPr>
        <w:t xml:space="preserve"> об'єму газу до стандартних умов, затвердженої наказом Міністерства палива та енергетики України від 21 жовтня 2003 року № 595, що виникла в період з  1 грудня 2015 року до         1 жовтня 2018 року через приведення операторами газорозподільних систем об’ємів використаного побутовими споживачами природного газу до стандартних умов на обсяги, відмінні від визначених лічильниками, при здійсненні комерційних розрахунків, підтверджений висновком суб’єкта аудиторської діяльності. Такий розрахунок затверджується на підставі вказаного висновку Національною комісією, що здійснює державне регулювання у сферах енергетики та комунальних послуг;</w:t>
      </w:r>
    </w:p>
    <w:p w14:paraId="0000002B" w14:textId="4ED7502C"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 розрахунок дебіторської заборгованості побутових споживачів перед постачальниками природного газу в розмірі вартості несплачених обсягів, що виникла внаслідок приведення об’єму природного газу до стандартних умов відповідно до Методики визначення питомих втрат природного газу при його вимірюваннях побутовими лічильниками в разі </w:t>
      </w:r>
      <w:proofErr w:type="spellStart"/>
      <w:r w:rsidRPr="00B07C17">
        <w:rPr>
          <w:rFonts w:ascii="Times New Roman" w:hAnsi="Times New Roman" w:cs="Times New Roman"/>
          <w:sz w:val="28"/>
          <w:szCs w:val="28"/>
        </w:rPr>
        <w:t>неприведення</w:t>
      </w:r>
      <w:proofErr w:type="spellEnd"/>
      <w:r w:rsidRPr="00B07C17">
        <w:rPr>
          <w:rFonts w:ascii="Times New Roman" w:hAnsi="Times New Roman" w:cs="Times New Roman"/>
          <w:sz w:val="28"/>
          <w:szCs w:val="28"/>
        </w:rPr>
        <w:t xml:space="preserve"> об'єму газу до стандартних умов, затвердженої наказом Міністерства палива та енергетики України від 21 жовтня 2003 року №</w:t>
      </w:r>
      <w:r w:rsidR="00B07C17">
        <w:rPr>
          <w:rFonts w:ascii="Times New Roman" w:hAnsi="Times New Roman" w:cs="Times New Roman"/>
          <w:sz w:val="28"/>
          <w:szCs w:val="28"/>
        </w:rPr>
        <w:t xml:space="preserve"> </w:t>
      </w:r>
      <w:r w:rsidRPr="00B07C17">
        <w:rPr>
          <w:rFonts w:ascii="Times New Roman" w:hAnsi="Times New Roman" w:cs="Times New Roman"/>
          <w:sz w:val="28"/>
          <w:szCs w:val="28"/>
        </w:rPr>
        <w:t>595, а також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у період з 1 жовтня 2014 року до розрахункової дати, та не сплачена станом на розрахункову дату, внаслідок та за рахунок якої утворилась кредиторська заборгованість постачальників природного газу за договорами купівлі-продажу природного газу для побутових споживачів, що включає в себе, в тому числі, сумнівну та безнадійну заборгованість, підтверджений висновком суб’єкта аудиторської діяльності. Такий розрахунок затверджується на підставі вказаного висновку Національною комісією, що здійснює державне регулювання у сферах енергетики та комунальних послуг;</w:t>
      </w:r>
    </w:p>
    <w:p w14:paraId="0000002C" w14:textId="5CC435B0"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розрахунок граничного обсягу втрат, що виникли в газорозподільних мережах внаслідок ненадання або неякісного надання послуг з централізованого опалення та гарячого водопостачання проведений з Методикою, затвердженою наказом Міністерства палива та енергетики України від 23.07.2007</w:t>
      </w:r>
      <w:r w:rsidR="00B07C17">
        <w:rPr>
          <w:rFonts w:ascii="Times New Roman" w:hAnsi="Times New Roman" w:cs="Times New Roman"/>
          <w:sz w:val="28"/>
          <w:szCs w:val="28"/>
        </w:rPr>
        <w:t xml:space="preserve"> року</w:t>
      </w:r>
      <w:r w:rsidRPr="00B07C17">
        <w:rPr>
          <w:rFonts w:ascii="Times New Roman" w:hAnsi="Times New Roman" w:cs="Times New Roman"/>
          <w:sz w:val="28"/>
          <w:szCs w:val="28"/>
        </w:rPr>
        <w:t xml:space="preserve"> № 346, підтверджений висновком суб’єкта аудиторської діяльності. Такий розрахунок затверджується  на підставі вказаного висновку Національною комісією, що здійснює державне регулювання у сферах енергетики та комунальних послуг;</w:t>
      </w:r>
    </w:p>
    <w:p w14:paraId="0000002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 реєстр побутових споживачів природного газу (в розрізі особових рахунків) із зазначенням обсягів неоплаченої побутовими споживачами вартості природного газу, відображеної в обліку суб'єктів ринку природного газу в період з 1 жовтня 2018 року до розрахункової дати в зв'язку з приведенням операторами газорозподільних систем об’ємів використаного побутовими споживачами природного газу до стандартних умов, при здійсненні комерційних розрахунків;</w:t>
      </w:r>
    </w:p>
    <w:p w14:paraId="0000002E" w14:textId="77777777" w:rsidR="003831EC" w:rsidRPr="00B07C17" w:rsidRDefault="00B64C1D" w:rsidP="00B07C17">
      <w:pPr>
        <w:pStyle w:val="ab"/>
        <w:ind w:firstLine="709"/>
        <w:jc w:val="both"/>
        <w:rPr>
          <w:rFonts w:ascii="Times New Roman" w:hAnsi="Times New Roman" w:cs="Times New Roman"/>
          <w:color w:val="0070C0"/>
          <w:sz w:val="28"/>
          <w:szCs w:val="28"/>
          <w:u w:val="single"/>
        </w:rPr>
      </w:pPr>
      <w:r w:rsidRPr="00B07C17">
        <w:rPr>
          <w:rFonts w:ascii="Times New Roman" w:hAnsi="Times New Roman" w:cs="Times New Roman"/>
          <w:sz w:val="28"/>
          <w:szCs w:val="28"/>
        </w:rPr>
        <w:t xml:space="preserve">- затверджений Національною комісією, що здійснює державне регулювання у сферах енергетики та комунальних послуг, обсяг різниці між фактичною обґрунтованою вартістю послуг розподілу природного газу, що надаються операторами газорозподільних систем, та тарифами на розподіл природного газу, затвердженими Національною комісією, що здійснює державне регулювання у сферах енергетики та комунальних послуг. </w:t>
      </w:r>
    </w:p>
    <w:p w14:paraId="0000002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Відповідальність за повноту та достовірність даних, наведених у поданих документах, несуть учасники процедури врегулювання заборгованості, які подають відповідні документи.</w:t>
      </w:r>
    </w:p>
    <w:p w14:paraId="0000003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Рішення про включення або про відмову у включенні до реєстру приймається Національною комісією, що здійснює державне регулювання у сферах енергетики та комунальних послуг, та розміщується на офіційному веб-сайті цього органу.</w:t>
      </w:r>
    </w:p>
    <w:p w14:paraId="0000003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Включення до реєстру здійснюється безоплатно.</w:t>
      </w:r>
    </w:p>
    <w:p w14:paraId="0000003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Підставою для відмови у включенні до реєстру є:</w:t>
      </w:r>
    </w:p>
    <w:p w14:paraId="0000003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неподання документів, передбачених цією частиною;</w:t>
      </w:r>
    </w:p>
    <w:p w14:paraId="0000003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невідповідність поданих документів вимогам законодавства;</w:t>
      </w:r>
    </w:p>
    <w:p w14:paraId="0000003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виявлення недостовірних відомостей у поданих документах.</w:t>
      </w:r>
    </w:p>
    <w:p w14:paraId="0000003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3. Виключення учасника процедури врегулювання заборгованості з реєстру здійснюється за рішенням Національної комісії, що здійснює державне регулювання у сферах енергетики та комунальних послуг, у разі:</w:t>
      </w:r>
    </w:p>
    <w:p w14:paraId="0000003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ухилення від укладення цим учасником процедури врегулювання заборгованості договору (договорів) про реструктуризацію заборгованості, якщо укладення такого договору (договорів) є необхідним відповідно до цього Закону, протягом трьох місяців з моменту включення цього учасника до Реєстру;</w:t>
      </w:r>
    </w:p>
    <w:p w14:paraId="0000003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нездійснення цим учасником процедури врегулювання заборгованості платежів за договором (договорами) про реструктуризацію заборгованості, укладеним (укладеними) відповідно до цього Закону, у розмірі, що дорівнює сумі тримісячного платежу за цим (цими) договором (договорами);</w:t>
      </w:r>
    </w:p>
    <w:p w14:paraId="0000003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закінчення строку дії договору (договорів) цього учасника процедури про реструктуризацію заборгованості та/або повне погашення заборгованості за ним (ними).</w:t>
      </w:r>
    </w:p>
    <w:p w14:paraId="0000003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Рішення про виключення учасника процедури врегулювання заборгованості з реєстру приймається Національною комісією, що здійснює державне регулювання у сферах енергетики та комунальних послуг, у десятиденний строк з дня надходження обґрунтованого звернення підприємства - кредитора.</w:t>
      </w:r>
    </w:p>
    <w:p w14:paraId="0000003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Підприємство (організація) вважається виключеним з реєстру з наступного дня після прийняття Національною комісією, що здійснює державне </w:t>
      </w:r>
      <w:r w:rsidRPr="00B07C17">
        <w:rPr>
          <w:rFonts w:ascii="Times New Roman" w:hAnsi="Times New Roman" w:cs="Times New Roman"/>
          <w:sz w:val="28"/>
          <w:szCs w:val="28"/>
        </w:rPr>
        <w:lastRenderedPageBreak/>
        <w:t>регулювання у сферах енергетики та комунальних послуг, рішення про виключення такого підприємства з реєстру та внесення відповідного запису до реєстру.</w:t>
      </w:r>
    </w:p>
    <w:p w14:paraId="0000003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Стаття 4. Проведення взаєморозрахунків</w:t>
      </w:r>
    </w:p>
    <w:p w14:paraId="0000003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Взаєморозрахунки в цілях погашення заборгованості, визначеної статтею 1 цього Закону, здійснюються за рахунок видатків з державного бюджету для врегулювання:</w:t>
      </w:r>
    </w:p>
    <w:p w14:paraId="0000003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неоплаченої вартості обсягів природного газу, відображеної в обліку постачальників природного газу в період з 1 жовтня 2014 року до розрахункової дати в зв'язку з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 в цілях погашення заборгованості включених до Реєстру суб’єктів ринку природного газу, в тому числі підтвердженої судовими рішеннями, які набрали законної сили, за договорами купівлі-продажу (постачання) природного газу для постачання побутовим споживачам, укладеними з акціонерним товариством "Національна акціонерна компанія "Нафтогаз України", а також за договорами про надання послуг транспортування природного газу перед особою, що здійснювала функції оператора газотранспортної системи до 31 грудня 2019 року включно та/або особою, що здійснює функції оператора газотранспортної системи з 1 січня 2020 року;</w:t>
      </w:r>
    </w:p>
    <w:p w14:paraId="0000003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 заборгованості постачальника природного газу в межах обсягів приведення до стандартних умов відповідно до Методики визначення питомих втрат природного газу при його вимірюваннях побутовими лічильниками в разі </w:t>
      </w:r>
      <w:proofErr w:type="spellStart"/>
      <w:r w:rsidRPr="00B07C17">
        <w:rPr>
          <w:rFonts w:ascii="Times New Roman" w:hAnsi="Times New Roman" w:cs="Times New Roman"/>
          <w:sz w:val="28"/>
          <w:szCs w:val="28"/>
        </w:rPr>
        <w:t>неприведення</w:t>
      </w:r>
      <w:proofErr w:type="spellEnd"/>
      <w:r w:rsidRPr="00B07C17">
        <w:rPr>
          <w:rFonts w:ascii="Times New Roman" w:hAnsi="Times New Roman" w:cs="Times New Roman"/>
          <w:sz w:val="28"/>
          <w:szCs w:val="28"/>
        </w:rPr>
        <w:t xml:space="preserve"> об'єму газу до стандартних умов, затвердженої наказом Міністерства палива та енергетики України від 21 жовтня 2003 року № 595, що виникла в період з  1 грудня 2015 року до 1 жовтня 2018 року через приведення операторами газорозподільних систем об’ємів використаного побутовими споживачами природного газу до стандартних умов на обсяги, відмінні від визначених лічильниками, при здійсненні комерційних розрахунків, - в цілях погашення заборгованості включених до Реєстру суб’єктів природного газу, в тому числі підтвердженої судовими рішеннями, які набрали законної сили, за договорами купівлі-продажу (постачання) природного газу для постачання побутовим споживачам, укладеними з акціонерним товариством "Національна акціонерна компанія "Нафтогаз України", а також за договорами про надання послуг транспортування природного газу перед особою, що здійснювала функції оператора газотранспортної системи до 31 грудня 2019 року включно та/або особою, що здійснює функції оператора газотранспортної системи з 1 січня 2020 року;</w:t>
      </w:r>
    </w:p>
    <w:p w14:paraId="0000004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 несплаченої суми сумнівної та безнадійної дебіторської заборгованості побутових споживачів перед постачальниками природного газу, внаслідок та за рахунок якої утворилася кредиторська заборгованість постачальників природного газу за договорами купівлі-продажу природного газу для побутових споживачів; </w:t>
      </w:r>
    </w:p>
    <w:p w14:paraId="0000004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  неоплаченої вартості природного газу, відображеної в обліку постачальників природного газу в період з 1 січня 2014 року до розрахункової </w:t>
      </w:r>
      <w:r w:rsidRPr="00B07C17">
        <w:rPr>
          <w:rFonts w:ascii="Times New Roman" w:hAnsi="Times New Roman" w:cs="Times New Roman"/>
          <w:sz w:val="28"/>
          <w:szCs w:val="28"/>
        </w:rPr>
        <w:lastRenderedPageBreak/>
        <w:t>дати, в межах граничного обсягу втрат, що виникають внаслідок неякісного надання населенню послуг з централізованого опалення та гарячого водопостачання, розрахованого згідно з Методикою, затвердженою наказом Міністерства палива та енергетики України від 23.07.2007 № 346 - в цілях погашення заборгованості включених до Реєстру суб’єктів ринку природного газу, в тому числі підтвердженої судовими рішеннями, які набрали законної сили, за договорами купівлі-продажу (постачання) природного газу для постачання побутовим споживачам, укладеними з акціонерним товариством "Національна акціонерна компанія "Нафтогаз України";</w:t>
      </w:r>
    </w:p>
    <w:p w14:paraId="0000004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різниці між фактичною обґрунтованою вартістю послуг розподілу природного газу, що надаються операторами газорозподільних систем, та тарифами на розподіл природного газу, затвердженими Національною комісією, що здійснює державне регулювання у сферах енергетики та комунальних послуг, станом на розрахункову дату – в цілях погашення заборгованості операторів газорозподільних систем, в тому числі підтвердженої судовими рішенням та/або реструктуризованої, що не сплачена станом на розрахункову дату: за договорами транспортування природного газу,  укладеними з особою, що здійснювала функції оператора газотранспортної системи до 31 грудня 2019 року, особою, що здійснює функції оператора газотранспортної системи з 1 січня 2020 року, а також за договорами купівлі-продажу природного газу для виробничо-технологічних потреб, укладеними з акціонерним товариством "Національна акціонерна компанія "Нафтогаз України".</w:t>
      </w:r>
    </w:p>
    <w:p w14:paraId="0000004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Обсяги заборгованості, що підлягають врегулюванню відповідно до статті 4 цього Закону:</w:t>
      </w:r>
    </w:p>
    <w:p w14:paraId="0000004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підтверджуються висновком суб’єкта аудиторської діяльності;</w:t>
      </w:r>
    </w:p>
    <w:p w14:paraId="0000004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по яким Національною комісією, що здійснює державне регулювання в сферах енергетики та комунальних послуг, відповідно до статті 3 цього Закону прийнято рішення про затвердження на підставі висновку суб’єкта аудиторської діяльності.</w:t>
      </w:r>
    </w:p>
    <w:p w14:paraId="0000004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Обсяги різниці між фактичною обґрунтованою вартістю послуг розподілу природного газу, що надаються операторами газорозподільних мереж, та тарифами на розподіл природного газу, затверджуються Національною комісією, що здійснює державне регулювання в сферах енергетики та житлово-комунальних послуг.</w:t>
      </w:r>
    </w:p>
    <w:p w14:paraId="0000004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Взаєморозрахунки проводяться у порядку та на умовах, затверджених Кабінетом Міністрів України, в межах видатків спеціального фонду державного бюджету в обсягах, передбачених Законом України "Про Державний бюджет України на 2021 рік", із застосуванням рахунків, відкритих у Державному казначействі України, згідно з договором про організацію взаєморозрахунків, який укладається між учасниками розрахунків на підставі документа, що підтверджує наявність в обліку учасників розрахунків кредиторської та/або дебіторської заборгованості на дату підписання такого договору, та в обсязі, що не перевищує підтверджену учасниками заборгованість.</w:t>
      </w:r>
    </w:p>
    <w:p w14:paraId="0000004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Дебіторська заборгованість побутових споживачів перед постачальниками природного газу в розмірі вартості несплачених обсягів, що виникла внаслідок </w:t>
      </w:r>
      <w:r w:rsidRPr="00B07C17">
        <w:rPr>
          <w:rFonts w:ascii="Times New Roman" w:hAnsi="Times New Roman" w:cs="Times New Roman"/>
          <w:sz w:val="28"/>
          <w:szCs w:val="28"/>
        </w:rPr>
        <w:lastRenderedPageBreak/>
        <w:t xml:space="preserve">приведення об’єму природного газу до стандартних умов відповідно до Методики визначення питомих втрат природного газу при його вимірюваннях побутовими лічильниками в разі </w:t>
      </w:r>
      <w:proofErr w:type="spellStart"/>
      <w:r w:rsidRPr="00B07C17">
        <w:rPr>
          <w:rFonts w:ascii="Times New Roman" w:hAnsi="Times New Roman" w:cs="Times New Roman"/>
          <w:sz w:val="28"/>
          <w:szCs w:val="28"/>
        </w:rPr>
        <w:t>неприведення</w:t>
      </w:r>
      <w:proofErr w:type="spellEnd"/>
      <w:r w:rsidRPr="00B07C17">
        <w:rPr>
          <w:rFonts w:ascii="Times New Roman" w:hAnsi="Times New Roman" w:cs="Times New Roman"/>
          <w:sz w:val="28"/>
          <w:szCs w:val="28"/>
        </w:rPr>
        <w:t xml:space="preserve"> об'єму газу до стандартних умов, затвердженої наказом Міністерства палива та енергетики України від 21 жовтня 2003 року № 595, а також  визнанням судами незаконними та нечинними актів Кабінету Міністрів України про затвердження норм споживання природного газу населенням без лічильників у період з 1 жовтня 2014 року до розрахункової дати, та не сплачена станом на розрахункову дату, внаслідок та за рахунок якої утворилась кредиторська заборгованість постачальників природного газу за договорами купівлі-продажу природного газу для побутових споживачів, що включає в себе, в тому числі, сумнівну та безнадійну заборгованість, підлягає списанню на особових рахунках побутових споживачів за результатами проведення взаєморозрахунків, передбачених цією статтею.</w:t>
      </w:r>
    </w:p>
    <w:p w14:paraId="0000004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Стаття 5. Реструктуризація заборгованості за природний газ та послуги його транспортування</w:t>
      </w:r>
    </w:p>
    <w:p w14:paraId="0000004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Реструктуризації на умовах, визначених цим Законом, підлягає:</w:t>
      </w:r>
    </w:p>
    <w:p w14:paraId="0000004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заборгованість постачальників природного газу, в тому числі реструктуризована, та операторів газорозподільних систем, понад обсяги, урегульовані із застосуванням механізмів, визначених статтею 4 цього Закону, за:</w:t>
      </w:r>
    </w:p>
    <w:p w14:paraId="0000004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договорами купівлі-продажу природного газу для постачання побутовим споживачам (без урахуванням суми неустойки (штрафів, пені), інфляційних нарахувань, процентів річних, нарахованих на заборгованість за спожитий природний газ), використаний станом на розрахункову дату, в тому числі підтверджена судовими рішеннями, які набрали законної сили;</w:t>
      </w:r>
    </w:p>
    <w:p w14:paraId="0000004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природний газ, переданий НАК "Нафтогаз України" операторам газорозподільних систем за договорами купівлі-продажу природного газу для виробничо-технологічних потреб станом на розрахункову дату, в тому числі підтверджена судовими рішеннями, які набрали законної сили;</w:t>
      </w:r>
    </w:p>
    <w:p w14:paraId="0000004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послуги, надані операторам газорозподільних систем та постачальникам природного газу за договорами транспортування природного газу перед особою, що здійснювала функції оператора газотранспортної системи до 31 грудня 2019 року включно, в тому числі підтверджена судовими рішеннями, які набрали законної сили;</w:t>
      </w:r>
    </w:p>
    <w:p w14:paraId="0000004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послуги, надані операторам газорозподільних систем та постачальникам за договорами транспортування природного газу, перед особою, що здійснює функції оператора газотранспортної системи з 1 січня 2020 року, в тому числі підтверджена судовими рішеннями, які набрали законної сили;</w:t>
      </w:r>
    </w:p>
    <w:p w14:paraId="00000050" w14:textId="2A81E864"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заборгованість особи, що здійснювала функції оператора газотранспортної системи до 31 гр</w:t>
      </w:r>
      <w:r w:rsidR="00B07C17">
        <w:rPr>
          <w:rFonts w:ascii="Times New Roman" w:hAnsi="Times New Roman" w:cs="Times New Roman"/>
          <w:sz w:val="28"/>
          <w:szCs w:val="28"/>
        </w:rPr>
        <w:t xml:space="preserve">удня 2019 року включно, перед </w:t>
      </w:r>
      <w:r w:rsidRPr="00B07C17">
        <w:rPr>
          <w:rFonts w:ascii="Times New Roman" w:hAnsi="Times New Roman" w:cs="Times New Roman"/>
          <w:sz w:val="28"/>
          <w:szCs w:val="28"/>
        </w:rPr>
        <w:t>НАК "Нафтогаз України".</w:t>
      </w:r>
    </w:p>
    <w:p w14:paraId="00000052" w14:textId="77777777" w:rsidR="003831EC" w:rsidRPr="00B07C17" w:rsidRDefault="00B64C1D" w:rsidP="00B07C17">
      <w:pPr>
        <w:pStyle w:val="ab"/>
        <w:ind w:firstLine="709"/>
        <w:jc w:val="both"/>
        <w:rPr>
          <w:rFonts w:ascii="Times New Roman" w:hAnsi="Times New Roman" w:cs="Times New Roman"/>
          <w:sz w:val="28"/>
          <w:szCs w:val="28"/>
        </w:rPr>
      </w:pPr>
      <w:bookmarkStart w:id="1" w:name="_heading=h.gjdgxs" w:colFirst="0" w:colLast="0"/>
      <w:bookmarkEnd w:id="1"/>
      <w:r w:rsidRPr="00B07C17">
        <w:rPr>
          <w:rFonts w:ascii="Times New Roman" w:hAnsi="Times New Roman" w:cs="Times New Roman"/>
          <w:sz w:val="28"/>
          <w:szCs w:val="28"/>
        </w:rPr>
        <w:t xml:space="preserve">2. Реструктуризація заборгованості, що підлягає врегулюванню відповідно до цього Закону, здійснюється після та за умови проведення розрахунків, передбачених статтею 4 цього Закону, шляхом розстрочення на 60 календарних місяців рівними частинами з першого числа місяця укладення договору без </w:t>
      </w:r>
      <w:r w:rsidRPr="00B07C17">
        <w:rPr>
          <w:rFonts w:ascii="Times New Roman" w:hAnsi="Times New Roman" w:cs="Times New Roman"/>
          <w:sz w:val="28"/>
          <w:szCs w:val="28"/>
        </w:rPr>
        <w:lastRenderedPageBreak/>
        <w:t>відстрочення погашення заборгованості та з можливістю дострокового погашення.</w:t>
      </w:r>
    </w:p>
    <w:p w14:paraId="0000005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3. На реструктуризовану заборгованість не нараховуються неустойка (штрафи, пені), проценти річних, інфляційні нарахування, крім випадків повного або часткового нездійснення платежів за договором про реструктуризацію заборгованості, укладеним відповідно до цього Закону, у сумі тримісячного платежу.</w:t>
      </w:r>
    </w:p>
    <w:p w14:paraId="0000005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4. Виконання зобов'язань за договором про реструктуризацію заборгованості забезпечується шляхом надання  учасниками   фінансових та/або інших гарантій на суму реструктуризації (крім суми заборгованості, погашення якої проводиться за рахунок видатків бюджетів) або будь-якого виду забезпечення, передбаченого законодавством України, за згодою сторін.</w:t>
      </w:r>
    </w:p>
    <w:p w14:paraId="0000005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5. Повне або часткове нездійснення платежів за договором про реструктуризацію заборгованості, укладеним відповідно до цього Закону, у розмірі, що дорівнює сумі тримісячного платежу за цим договором, є підставою для:</w:t>
      </w:r>
    </w:p>
    <w:p w14:paraId="0000005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розірвання договору про реструктуризацію заборгованості кредитором в односторонньому порядку;</w:t>
      </w:r>
    </w:p>
    <w:p w14:paraId="0000005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дострокового стягнення всієї реструктуризованої та непогашеної заборгованості згідно з договором про реструктуризацію заборгованості;</w:t>
      </w:r>
    </w:p>
    <w:p w14:paraId="0000005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нарахування на непогашену суму реструктуризованої заборгованості неустойки (штрафів, пені), процентів річних, інфляційних нарахувань.</w:t>
      </w:r>
    </w:p>
    <w:p w14:paraId="0000005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6. Типовий договір про реструктуризацію заборгованості за природний газ та послуги з його транспортування затверджується Кабінетом Міністрів України.</w:t>
      </w:r>
    </w:p>
    <w:p w14:paraId="0000005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7. Кожна із сторін зобов'язана укласти договір про реструктуризацію заборгованості у строк, що не перевищує 10 календарних днів з дня його отримання, якщо сума за таким договором підтверджена актами звіряння між учасниками процедури врегулювання заборгованості.</w:t>
      </w:r>
    </w:p>
    <w:p w14:paraId="0000005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8. За зверненнями побутових споживачів суб’єкти ринку природного газу, які уклали з НАК "Нафтогаз України" та/або особою що здійснювала функції оператора газотранспортної системи до 31 грудня 2019 року (включно) та/або особою що здійснює функції оператора газотранспортної системи з 1 січня 2020 року, договори про реструктуризацію заборгованості за спожитий природний газ та послуги його транспортування, зобов'язані в порядку, затвердженому Кабінетом Міністрів України,</w:t>
      </w:r>
      <w:r w:rsidRPr="00B07C17">
        <w:rPr>
          <w:rFonts w:ascii="Times New Roman" w:hAnsi="Times New Roman" w:cs="Times New Roman"/>
          <w:color w:val="FF0000"/>
          <w:sz w:val="28"/>
          <w:szCs w:val="28"/>
        </w:rPr>
        <w:t xml:space="preserve"> </w:t>
      </w:r>
      <w:r w:rsidRPr="00B07C17">
        <w:rPr>
          <w:rFonts w:ascii="Times New Roman" w:hAnsi="Times New Roman" w:cs="Times New Roman"/>
          <w:sz w:val="28"/>
          <w:szCs w:val="28"/>
        </w:rPr>
        <w:t>укласти з такими споживачами договори про реструктуризацію заборгованості побутових споживачів станом на 31 грудня 2020 року за умови здійснення ними поточних розрахунків за відповідні спожиті послуги, шляхом розстрочення на 60 календарних місяців рівними частинами з першого числа місяця укладення договору.</w:t>
      </w:r>
    </w:p>
    <w:p w14:paraId="0000005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Стаття 6. Списання неустойки (штрафів, пені), інфляційних нарахувань, процентів річних, нарахованих на заборгованість за природний газ та послуги з його транспортування</w:t>
      </w:r>
    </w:p>
    <w:p w14:paraId="0000005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На реструктуризовану згідно з цим Законом заборгованість за природний газ та послуги його транспортування неустойка (штраф, пеня), інфляційні нарахування, проценти річних не нараховуються.</w:t>
      </w:r>
    </w:p>
    <w:p w14:paraId="0000005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Неустойка (штраф, пеня), інфляційні нарахування, проценти річних, нараховані на заборгованість за договорами купівлі-продажу газу та договорами на транспортування, в тому числі підтверджені судовими рішеннями, які набрали законної сили, що обліковуються учасниками процедури погашення заборгованості та не сплачені станом на розрахункову дату,  підлягають врегулюванню, у такий спосіб:</w:t>
      </w:r>
    </w:p>
    <w:p w14:paraId="0000005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підлягають списанню з дня набрання чинності цим Законом, у разі якщо погашення основної частини боргу здійснено до 31 грудня 2020 року або до моменту укладання договорів про реструктуризацію відповідно до статті 5 цього Закону, у тому числі шляхом проведення взаєморозрахунків відповідно до статті 4 цього Закону;</w:t>
      </w:r>
    </w:p>
    <w:p w14:paraId="0000006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підлягають списанню, за умови повного виконання підприємством - дебітором укладеного договору про реструктуризацію заборгованості.</w:t>
      </w:r>
    </w:p>
    <w:p w14:paraId="0000006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Стаття 7. Гарантії забезпечення прав та інтересів кредиторів</w:t>
      </w:r>
    </w:p>
    <w:p w14:paraId="0000006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НАК "Нафтогаз України", особа що здійснювала функції оператора газотранспортної системи до 31 грудня 2019 року (включно), особа що здійснює функції оператора газотранспортної системи з 1 січня 2020 року, заборгованість перед якими (з урахуванням суми неустойки (штрафу, пені), інфляційних нарахувань, процентів річних, нарахованих на таку заборгованість) підлягає врегулюванню відповідно до цього Закону, мають право на відшкодування з державного бюджету додаткових витрат на сплату відсотків та інших витрат у зв'язку із запозиченням коштів з метою покриття касових розривів, що утворилися внаслідок врегулювання заборгованості відповідно статей 5 - 6 цього Закону, в порядку, затвердженому Кабінетом Міністрів України.</w:t>
      </w:r>
    </w:p>
    <w:p w14:paraId="00000064" w14:textId="675B110E"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Розділ II</w:t>
      </w:r>
      <w:r w:rsidR="00B07C17">
        <w:rPr>
          <w:rFonts w:ascii="Times New Roman" w:hAnsi="Times New Roman" w:cs="Times New Roman"/>
          <w:sz w:val="28"/>
          <w:szCs w:val="28"/>
        </w:rPr>
        <w:t xml:space="preserve">. </w:t>
      </w:r>
      <w:r w:rsidRPr="00B07C17">
        <w:rPr>
          <w:rFonts w:ascii="Times New Roman" w:hAnsi="Times New Roman" w:cs="Times New Roman"/>
          <w:sz w:val="28"/>
          <w:szCs w:val="28"/>
        </w:rPr>
        <w:t>ПРИКІНЦЕВІ ТА ПЕРЕХІДНІ ПОЛОЖЕННЯ</w:t>
      </w:r>
    </w:p>
    <w:p w14:paraId="00000065" w14:textId="3C3B0C9F"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Цей Закон набирає чинності з дня, наступ</w:t>
      </w:r>
      <w:r w:rsidR="00CC0CC1" w:rsidRPr="00B07C17">
        <w:rPr>
          <w:rFonts w:ascii="Times New Roman" w:hAnsi="Times New Roman" w:cs="Times New Roman"/>
          <w:sz w:val="28"/>
          <w:szCs w:val="28"/>
        </w:rPr>
        <w:t>ного за днем його опублікування.</w:t>
      </w:r>
    </w:p>
    <w:p w14:paraId="0000006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 У Законі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(Відомості Верховної Ради України, 2016 р., № 51, ст. 839):</w:t>
      </w:r>
    </w:p>
    <w:p w14:paraId="0000006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у назві слова "за спожиті енергоносії" виключити;</w:t>
      </w:r>
    </w:p>
    <w:p w14:paraId="0000006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 у статті 1:</w:t>
      </w:r>
    </w:p>
    <w:p w14:paraId="0000006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частині першій:</w:t>
      </w:r>
    </w:p>
    <w:p w14:paraId="0000006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в абзаці другому після слів "за рахунок видатків державного бюджету" доповнити словами ", місцевих бюджетів (на умовах </w:t>
      </w:r>
      <w:proofErr w:type="spellStart"/>
      <w:r w:rsidRPr="00B07C17">
        <w:rPr>
          <w:rFonts w:ascii="Times New Roman" w:hAnsi="Times New Roman" w:cs="Times New Roman"/>
          <w:sz w:val="28"/>
          <w:szCs w:val="28"/>
        </w:rPr>
        <w:t>співфінансування</w:t>
      </w:r>
      <w:proofErr w:type="spellEnd"/>
      <w:r w:rsidRPr="00B07C17">
        <w:rPr>
          <w:rFonts w:ascii="Times New Roman" w:hAnsi="Times New Roman" w:cs="Times New Roman"/>
          <w:sz w:val="28"/>
          <w:szCs w:val="28"/>
        </w:rPr>
        <w:t>)";</w:t>
      </w:r>
    </w:p>
    <w:p w14:paraId="0000006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 п'ятий викласти у такій редакції:</w:t>
      </w:r>
    </w:p>
    <w:p w14:paraId="0000006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"кредиторська заборгованість теплопостачальних та теплогенеруючих організацій перед постачальником природного газу, операторами газорозподільних систем, оператором газотранспортної системи та суб’єктом господарювання, що виконував функції оператора газотранспортної системи до 31 грудня 2019 року (включно), за спожитий природний газ, використаний для виробництва теплової енергії (у тому числі за договорами купівлі-продажу природного газу для власних потреб, що був використаний виключно для виробництва теплової енергії), надання послуг з централізованого опалення, </w:t>
      </w:r>
      <w:r w:rsidRPr="00B07C17">
        <w:rPr>
          <w:rFonts w:ascii="Times New Roman" w:hAnsi="Times New Roman" w:cs="Times New Roman"/>
          <w:sz w:val="28"/>
          <w:szCs w:val="28"/>
        </w:rPr>
        <w:lastRenderedPageBreak/>
        <w:t>послуг з централізованого опалення та централізованого постачання гарячої води, послуг з постачання теплової енергії та постачання гарячої води (у тому числі у разі заміни сторони у зобов'язанні та/або у разі правонаступництва), а також послуги з його розподілу і транспортування, а також кредиторська заборгованість теплогенеруючих організацій перед постачальником природного газу, операторами газорозподільних систем, оператором газотранспортної системи та суб’єктом господарювання, що виконував функції оператора газотранспортної системи до 31 грудня 2019 року (включно), за спожитий природний газ, використаний для виробництва електричної енергії (у тому числі за договорами купівлі-продажу природного газу для власних потреб, що був використаний виключно для виробництва електричної енергії);</w:t>
      </w:r>
    </w:p>
    <w:p w14:paraId="0000006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доповнити абзацом шостим такого змісту:</w:t>
      </w:r>
    </w:p>
    <w:p w14:paraId="0000006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"кредиторська заборгованість теплопостачальних організацій перед теплогенеруючими організаціями за теплову енергію, отриману для її подальшого постачання споживачам (у тому числі заборгованість перед НАК «Нафтогаз України», право вимоги якої набуто шляхом заміни кредитора у зобов’язанні);";</w:t>
      </w:r>
    </w:p>
    <w:p w14:paraId="0000006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зв’язку з цим абзац шостий вважати абзацом сьомим, який викласти у такій редакції:</w:t>
      </w:r>
    </w:p>
    <w:p w14:paraId="0000007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"кредиторська заборгованість перед постачальником електричної енергії, електропостачальником, оператором системи розподілу (як правонаступником в частині прав та обов'язків) за договорами на постачання електричної енергії та про користування електричною енергією), підприємств централізованого водопостачання і водовідведення за електричну енергію, спожиту для виробництва та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p>
    <w:p w14:paraId="0000007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 восьмий викласти у такій редакції:</w:t>
      </w:r>
    </w:p>
    <w:p w14:paraId="0000007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"заборгованість з різниці в тарифах на виробництво, транспортування та постачання теплової енергії, теплову енергію, послуги з  централізованого опалення та централізованого постачання гарячої води, послуги з постачання теплової енергії та постачання гарячої води (у тому числі у разі заміни сторони у зобов’язанні та/або у разі  правонаступництва),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 що вироблялися, транспортувалися та постачалися населенню, установам і організаціям, що фінансуються з державного та/або місцевих бюджетів, та/або іншим підприємствам теплопостачання, централізованого водопостачання та водовідведення, що постачають теплову енергію, надають послуги з централізованого опалення та централізованого постачання гарячої води, послуги з постачання теплової енергії та постачання гарячої води,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 населенню, а також організаціям та установам, що фінансуються з державного </w:t>
      </w:r>
      <w:r w:rsidRPr="00B07C17">
        <w:rPr>
          <w:rFonts w:ascii="Times New Roman" w:hAnsi="Times New Roman" w:cs="Times New Roman"/>
          <w:sz w:val="28"/>
          <w:szCs w:val="28"/>
        </w:rPr>
        <w:lastRenderedPageBreak/>
        <w:t>та/або місцевих бюджетів, яка виникла у зв’язку з невідповідністю фактичної вартості теплової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  тарифам, що затверджувалися та/або погоджувалися органами державної влади чи органами місцевого самоврядування, та залишилася не погашеною станом на 1 травня 2021 року (далі - заборгованість з різниці в тарифах), методика визначення якої затверджується Кабінетом Міністрів України;";</w:t>
      </w:r>
    </w:p>
    <w:p w14:paraId="0000007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 восьмий доповнити словами  "за договорами купівлі-продажу (постачання) природного газу, укладеними з учасниками процедури врегулювання заборгованості, а також за договорами купівлі-продажу (постачання) природного газу, укладеними з учасниками процедури врегулювання заборгованості, право вимоги заборгованості за якими набуто Національною акціонерною компанією "Нафтогаз України" та її дочірньою компанією "Газ України" шляхом заміни кредитора з зобов’язанні;";</w:t>
      </w:r>
    </w:p>
    <w:p w14:paraId="0000007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абзаці дев’ятому після слів "за спожитий природний газ" доповнити словами", послуги з його розподілу та транспортування";</w:t>
      </w:r>
    </w:p>
    <w:p w14:paraId="0000007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 дванадцятий викласти у такій редакції:</w:t>
      </w:r>
    </w:p>
    <w:p w14:paraId="0000007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"учасники процедури врегулювання заборгованості - підприємства та організації, включені до реєстру, постачальники природного газу, оператор газотранспортної системи та суб’єкт господарювання, що виконував функції оператора газотранспортної системи до 31 грудня 2019 року (включно), оператори газорозподільних систем,  електропостачальники або оператори системи розподілу (як правонаступники в частині прав та обов'язків за договорами на постачання електричної енергії та про користування електричною енергією), оптовий постачальник електричної енергії, розпорядники коштів державного та місцевих бюджетів, органи, що здійснюють казначейське обслуговування бюджетних коштів.";</w:t>
      </w:r>
    </w:p>
    <w:p w14:paraId="0000007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другу викласти в такій редакції:</w:t>
      </w:r>
    </w:p>
    <w:p w14:paraId="0000007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 Інші терміни вживаються в цьому Законі у значеннях, наведених у законах України "Про житлово-комунальні послуги", "Про теплопостачання", "Про питну воду та питне водопостачання", "Про електроенергетику" та інших законах України.";</w:t>
      </w:r>
    </w:p>
    <w:p w14:paraId="0000007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 частину першу статті 2 викласти у такій редакції:</w:t>
      </w:r>
    </w:p>
    <w:p w14:paraId="0000007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Дія цього Закону поширюється на відносини із врегулювання заборгованості теплопостачальних та теплогенеруючих організацій за спожитий природний газ та послуги з його розподілу і транспортування, теплову енергію, а також підприємств централізованого водопостачання і водовідведення за спожиту електричну енергію.";</w:t>
      </w:r>
    </w:p>
    <w:p w14:paraId="0000007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3) у статті 3:</w:t>
      </w:r>
    </w:p>
    <w:p w14:paraId="0000007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першу доповнити новим абзацом такого змісту:</w:t>
      </w:r>
    </w:p>
    <w:p w14:paraId="0000007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"Участь у процедурі врегулювання заборгованості виключно відповідно до статті 4 цього Закону не потребує обов'язкового включення до реєстру.";</w:t>
      </w:r>
    </w:p>
    <w:p w14:paraId="0000007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у частині другій:</w:t>
      </w:r>
    </w:p>
    <w:p w14:paraId="0000007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абзаци третій - сьомий викласти у такій редакції:</w:t>
      </w:r>
    </w:p>
    <w:p w14:paraId="0000008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"копії ліцензій (у разі наявності) або рішень про видачу ліцензій, прийнятих органами ліцензування, на провадження видів господарської діяльності, що діяли на момент виникнення заборгованості, або виписка з Єдиного державного реєстру юридичних осіб, фізичних осіб - підприємців та громадських формувань із записом про рішення органу ліцензування щодо видачі ліцензії суб'єкту господарювання (для підприємств та організацій, діяльність яких підлягає ліцензуванню згідно чинного законодавства);</w:t>
      </w:r>
    </w:p>
    <w:p w14:paraId="0000008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довідки, складені підприємством (організацією) у довільній формі, про обсяги та структуру дебіторської заборгованості (із зазначенням категорії споживачів) станом на 1 травня 2021 року та кредиторської заборгованості, що підлягає врегулюванню відповідно до вимог цього Закону (у тому числі за договорами купівлі-продажу природного газу для власних потреб, що був використаний виключно для виробництва теплової та електричної енергії), із зазначенням кредиторів, величини заборгованості, розміру неустойки (штрафів, пені), інфляційних нарахувань, процентів річних, нарахованих на заборгованість, що підлягає врегулюванню, станом на 1 травня 2021 року, а також обсягів заборгованості реструктуризованої станом на 1 травня 2021 року в порядку та на умовах, визначених цим Законом;</w:t>
      </w:r>
    </w:p>
    <w:p w14:paraId="0000008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копія акту звіряння взаєморозрахунків станом на 1 травня 2021 року із зазначенням договорів, заборгованість за якими реструктуризована станом на 1 травня 2021 року в порядку та на умовах, визначених цим Законом;</w:t>
      </w:r>
    </w:p>
    <w:p w14:paraId="0000008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розрахунки обсягів заборгованості з різниці в тарифах та копії протоколів територіальних комісій з питань узгодження заборгованості з різниці в тарифах або довідки про відсутність такої заборгованості,  за підписом керівника; ";</w:t>
      </w:r>
    </w:p>
    <w:p w14:paraId="0000008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зв'язку з цим абзаци восьмий - чотирнадцятий вважати відповідно абзацами дев'ятим - п'ятнадцятим;</w:t>
      </w:r>
    </w:p>
    <w:p w14:paraId="0000008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 одинадцятий доповнити словами "та за кожним контрагентом окремо.";</w:t>
      </w:r>
    </w:p>
    <w:p w14:paraId="0000008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доповнити абзацом шістнадцятим такого змісту:</w:t>
      </w:r>
    </w:p>
    <w:p w14:paraId="0000008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"Для внесення змін до даних, що містяться у реєстрі, учасники процедури врегулювання заборгованості подають центральному органу виконавчої влади, що забезпечує формування та реалізує державну політику у сфері житлово-комунального господарства, заяву з обґрунтуванням необхідності внесення змін до Реєстру, до якої додаються виключно ті документи, визначені в абзацах другому - восьмому частини другої статті 3 Закону, якими підтверджуються відповідні зміни.";</w:t>
      </w:r>
    </w:p>
    <w:p w14:paraId="0000008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частині третій:</w:t>
      </w:r>
    </w:p>
    <w:p w14:paraId="0000008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 абзаці першому частини третьої після слів "або уповноваженої ним посадової особи" доповнити словами "за кожним контрагентом окремо"</w:t>
      </w:r>
    </w:p>
    <w:p w14:paraId="0000008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 абзаці другому після цифри "5" доповнити словом та знаком ", 6", а слова "з моменту завершення процедури врегулювання заборгованості відповідно до статті 4 цього Закону" замінити словами "з дати включення учасника процедури урегулювання заборгованості до Реєстру";</w:t>
      </w:r>
    </w:p>
    <w:p w14:paraId="0000008B" w14:textId="735747A5"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в абзаці п'ятому слова "та/або електроенергії" замінити словами  "оператора газотранспортної системи, операторів газорозподільних систем, або електропостачальника або оператора системи розподілу (як правонаступника в частині прав та обов'язків за договорами на постачання електричної енергії та про користування електричною енергією).";</w:t>
      </w:r>
    </w:p>
    <w:p w14:paraId="0000008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 абзаці шостому після слів "вважається виключеним з реєстру" доповнити словами "за певним контрагентом";</w:t>
      </w:r>
    </w:p>
    <w:p w14:paraId="0000008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4) у статті 4:</w:t>
      </w:r>
    </w:p>
    <w:p w14:paraId="0000008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 абзаці другому слова "надання послуг з централізованого опалення та постачання гарячої води" замінити словами "надання послуг з централізованого опалення та централізованого постачання гарячої води, послуг з постачання теплової енергії та постачання гарячої води", та доповнити словами "або операторами газотранспортної або газорозподільної систем за послуги з розподілу або транспортування природного газу";</w:t>
      </w:r>
    </w:p>
    <w:p w14:paraId="0000008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доповнити абзацом третім такого змісту:</w:t>
      </w:r>
    </w:p>
    <w:p w14:paraId="0000009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"кредиторської заборгованості теплопостачальних організацій перед теплогенеруючими організаціями за теплову енергію, отриману для її подальшого постачання споживачам;";</w:t>
      </w:r>
    </w:p>
    <w:p w14:paraId="0000009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зв’язку з  цим абзац третій вважати абзацом четвертим;</w:t>
      </w:r>
    </w:p>
    <w:p w14:paraId="0000009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 абзаці четвертому слова "надання послуг централізованого водопостачання та водовідведення, постачання холодної води та водовідведення (з використанням внутрішньобудинкових систем)" замінити словами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p>
    <w:p w14:paraId="0000009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 абзаці п’ятому слова "послуг централізованого водопостачання та водовідведення, постачання холодної води та водовідведення (з використанням внутрішньобудинкових систем)" замінити словами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p>
    <w:p w14:paraId="0000009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 сьомий викласти в такій редакції:</w:t>
      </w:r>
    </w:p>
    <w:p w14:paraId="0000009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"Взаєморозрахунки проводяться у порядку та на умовах, затверджених Кабінетом Міністрів України, за рахунок та в межах видатків спеціального фонду державного бюджету, джерелом формування яких є надходження,  визначені Законом України "Про Держаний бюджет України на 2021 рік", а також місцевих бюджетів (на умовах </w:t>
      </w:r>
      <w:proofErr w:type="spellStart"/>
      <w:r w:rsidRPr="00B07C17">
        <w:rPr>
          <w:rFonts w:ascii="Times New Roman" w:hAnsi="Times New Roman" w:cs="Times New Roman"/>
          <w:sz w:val="28"/>
          <w:szCs w:val="28"/>
        </w:rPr>
        <w:t>співфінансування</w:t>
      </w:r>
      <w:proofErr w:type="spellEnd"/>
      <w:r w:rsidRPr="00B07C17">
        <w:rPr>
          <w:rFonts w:ascii="Times New Roman" w:hAnsi="Times New Roman" w:cs="Times New Roman"/>
          <w:sz w:val="28"/>
          <w:szCs w:val="28"/>
        </w:rPr>
        <w:t>) на погашення заборгованості з різниці в тарифах.";</w:t>
      </w:r>
    </w:p>
    <w:p w14:paraId="0000009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доповнити абзацом такого змісту:</w:t>
      </w:r>
    </w:p>
    <w:p w14:paraId="00000097" w14:textId="266F788E"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"Підтвердження наявних станом на 1 травня 2021 року обсягів заборгованості з різниці в тарифах на виробництво, транспортування та постачання теплової енергії, теплову енергію, послуги з централізованого опалення та централізованого постачання гарячої води, послуги з постачання теплової енергії та постачання гарячої води, послуги з централізованого постачання холодної води та водовідведення (з використанням </w:t>
      </w:r>
      <w:r w:rsidRPr="00B07C17">
        <w:rPr>
          <w:rFonts w:ascii="Times New Roman" w:hAnsi="Times New Roman" w:cs="Times New Roman"/>
          <w:sz w:val="28"/>
          <w:szCs w:val="28"/>
        </w:rPr>
        <w:lastRenderedPageBreak/>
        <w:t>внутрішньобудинкових систем), послуги з централізованого водопостачання та централізованого водовідведення, здійснюється територіальними комісіями з питань узгодження заборгованості з різниці в тарифах, типове положення про які затверджується центральним органом виконавчої влади, що забезпечує формування та реалізує державну політику у сфері житлово-комунального господарства, до складу яких включаються представники Державної аудиторської служби України</w:t>
      </w:r>
      <w:r w:rsidR="00B07C17" w:rsidRPr="00B07C17">
        <w:t xml:space="preserve"> </w:t>
      </w:r>
      <w:r w:rsidR="00B07C17" w:rsidRPr="00B07C17">
        <w:rPr>
          <w:rFonts w:ascii="Times New Roman" w:hAnsi="Times New Roman" w:cs="Times New Roman"/>
          <w:sz w:val="28"/>
          <w:szCs w:val="28"/>
        </w:rPr>
        <w:t>та територіальних органів Національної комісії, що здійснює державне регулювання у сферах енерг</w:t>
      </w:r>
      <w:r w:rsidR="00B07C17">
        <w:rPr>
          <w:rFonts w:ascii="Times New Roman" w:hAnsi="Times New Roman" w:cs="Times New Roman"/>
          <w:sz w:val="28"/>
          <w:szCs w:val="28"/>
        </w:rPr>
        <w:t>етики та комунальних послуг.»</w:t>
      </w:r>
      <w:r w:rsidRPr="00B07C17">
        <w:rPr>
          <w:rFonts w:ascii="Times New Roman" w:hAnsi="Times New Roman" w:cs="Times New Roman"/>
          <w:sz w:val="28"/>
          <w:szCs w:val="28"/>
        </w:rPr>
        <w:t>";</w:t>
      </w:r>
    </w:p>
    <w:p w14:paraId="0000009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5) у статті 5:</w:t>
      </w:r>
    </w:p>
    <w:p w14:paraId="0000009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назву доповнити словами ", а також послуги з його розподілу і транспортування";</w:t>
      </w:r>
    </w:p>
    <w:p w14:paraId="0000009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 перший частини першої викласти в такій редакції:</w:t>
      </w:r>
    </w:p>
    <w:p w14:paraId="0000009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Реструктуризації підлягає кредиторська заборгованість теплопостачальних та теплогенеруючих організацій за спожитий природний газ, використаний станом на 1 травня 2021 року для виробництва теплової енергії (у тому числі за договорами купівлі-продажу природного газу для власних потреб, що був використаний виключно для виробництва теплової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та заборгованість за послуги з розподілу та транспортування природного газу, а також кредиторська заборгованість теплогенеруючих організацій за спожитий природний газ, використаний станом на 1 травня 2021 року для виробництва електричної енергії (у тому числі за договорами купівлі-продажу природного газу для власних потреб, що був використаний виключно для виробництва електричної енергії), утворена станом на 1 травня 2021 року (без урахування суми неустойки (штрафів, пені), інфляційних нарахувань, процентів річних, нарахованих на таку заборгованість, а також кредиторська заборгованість теплопостачальних організацій перед теплогенеруючими організаціями за теплову енергію, отриману для її подальшого постачання споживачам, утворена станом на 1 травня 2021 року (без урахування суми неустойки (штрафів, пені), інфляційних нарахувань, процентів річних, нарахованих на таку заборгованість).";</w:t>
      </w:r>
    </w:p>
    <w:p w14:paraId="0000009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частину другу викласти у такій редакції: </w:t>
      </w:r>
    </w:p>
    <w:p w14:paraId="0000009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 Реструктуризація заборгованості, що підлягає врегулюванню відповідно до цього Закону, здійснюється без відстрочення погашення заборгованості та з можливістю дострокового погашення шляхом розстрочення на:</w:t>
      </w:r>
    </w:p>
    <w:p w14:paraId="0000009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w:t>
      </w:r>
      <w:r w:rsidRPr="00B07C17">
        <w:rPr>
          <w:rFonts w:ascii="Times New Roman" w:hAnsi="Times New Roman" w:cs="Times New Roman"/>
          <w:sz w:val="28"/>
          <w:szCs w:val="28"/>
        </w:rPr>
        <w:tab/>
        <w:t>60 календарних місяців рівними частинами з першого числа місяця укладення договору - у разі відсутності забезпечення виконання зобов'язань теплопостачальної або теплогенеруючої організації за договором про реструктуризацію заборгованості будь-яким видом забезпечення, передбаченим законодавством України, та за умови, що загальний обсяг заборгованості такої теплопостачальної або теплогенеруючої організації за спожитий природний газ, який підлягає реструктуризації відповідно до цього Закону, не перевищує 10 (десяти) мільйонів гривень;</w:t>
      </w:r>
    </w:p>
    <w:p w14:paraId="0000009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2)</w:t>
      </w:r>
      <w:r w:rsidRPr="00B07C17">
        <w:rPr>
          <w:rFonts w:ascii="Times New Roman" w:hAnsi="Times New Roman" w:cs="Times New Roman"/>
          <w:sz w:val="28"/>
          <w:szCs w:val="28"/>
        </w:rPr>
        <w:tab/>
        <w:t>84 календарні місяці рівними частинами з першого числа місяця укладення договору - за умови забезпечення виконання зобов'язань теплопостачальної або теплогенеруючої організації за договором про реструктуризацію заборгованості на суму реструктуризації згідно з частиною четвертою цієї статті.</w:t>
      </w:r>
    </w:p>
    <w:p w14:paraId="000000A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 окремих випадках граничний термін розстрочення заборгованості, визначений абзацом третім цієї частини, може бути продовжено до 180 місяців за погодженням з органом управління та/або наглядовим органом кредитора за наявності економічно обґрунтованих підстав та за умови, що загальний обсяг заборгованості теплопостачальної або теплогенеруючої організації, який підлягає реструктуризації відповідно до цього Закону, перевищує 5 (п’ять) мільярдів гривень.";</w:t>
      </w:r>
    </w:p>
    <w:p w14:paraId="000000A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четверту викласти у такій редакції:</w:t>
      </w:r>
    </w:p>
    <w:p w14:paraId="000000A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"4. Виконання зобов'язань теплопостачальної або теплогенеруючої організації, включеної до Реєстру, за договором про реструктуризацію заборгованості, укладеним згідно з цим Законом, забезпечується застосуванням одного або декількох гарантуючих механізмів, а саме:</w:t>
      </w:r>
    </w:p>
    <w:p w14:paraId="000000A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надання учасниками процедури урегулювання заборгованості фінансових та/або інших гарантій на суму реструктуризації (крім суми заборгованості, погашення якої проводиться за рахунок видатків бюджетів) або будь-якого виду забезпечення, передбаченого законодавством України, за згодою сторін;</w:t>
      </w:r>
    </w:p>
    <w:p w14:paraId="000000A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прийняття відповідного рішення органом місцевого самоврядування (або військово-цивільною адміністрацією), що представляє відповідну територіальну громаду, до комунальної власності якої належить така теплопостачальна або теплогенеруюча організація, або органом місцевого самоврядування (військово-цивільною адміністрацією), на території якого провадять ліцензовану господарську діяльність теплопостачальна та/або теплогенеруюча організації не комунальної форми власності на виробничих об’єктах, що розташовані на відповідній території області або громади, здійснюючи постачання теплової енергії та надання споживачам цієї територіальної громади послуг з централізованого опалення та централізованого постачання гарячої води, послуг з постачання теплової енергії та постачання гарячої води.";</w:t>
      </w:r>
    </w:p>
    <w:p w14:paraId="000000A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абзаці другому частини п’ятої після слів "постачальником природного газу" доповнити словами "надавачем послуг розподілу або транспортування природного газу";</w:t>
      </w:r>
    </w:p>
    <w:p w14:paraId="000000A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частині шостій після слів "місцевого самоврядування" доповнити словами "(або військово-цивільною адміністрацією)";</w:t>
      </w:r>
    </w:p>
    <w:p w14:paraId="000000A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частині сьомій після слів "за спожитий природний газ" доповнити словами "послуги з його розподілу та транспортування";</w:t>
      </w:r>
    </w:p>
    <w:p w14:paraId="000000A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частині дев’ятій слова та цифри "1 липня 2016 року" замінити словами та цифрами "1 травня 2021 року";</w:t>
      </w:r>
    </w:p>
    <w:p w14:paraId="000000A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доповнити частиною 10 такого змісту:</w:t>
      </w:r>
    </w:p>
    <w:p w14:paraId="000000A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"10. Заборгованість теплопостачальних та теплогенеруючих організацій за спожитий природний газ, реструктуризована станом на 1 травня 2021 року в </w:t>
      </w:r>
      <w:r w:rsidRPr="00B07C17">
        <w:rPr>
          <w:rFonts w:ascii="Times New Roman" w:hAnsi="Times New Roman" w:cs="Times New Roman"/>
          <w:sz w:val="28"/>
          <w:szCs w:val="28"/>
        </w:rPr>
        <w:lastRenderedPageBreak/>
        <w:t>порядку та на умовах, визначених цим Законом, повторній реструктуризації не підлягає.";</w:t>
      </w:r>
    </w:p>
    <w:p w14:paraId="000000A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6) у статті 6:</w:t>
      </w:r>
    </w:p>
    <w:p w14:paraId="000000A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частині першій слова та цифри "станом на 1 липня 2016 року" замінити словами та цифрами "станом на 1 травня 2021 року", "слова "послуг з централізованого водопостачання, водовідведення, послуг з централізованого постачання холодної води та послуг з водовідведення (з використанням внутрішньобудинкових систем)" замінити словами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 а слова та цифри "станом на 31 грудня 2016 року" замінити словами "станом на розрахункову дату";</w:t>
      </w:r>
    </w:p>
    <w:p w14:paraId="000000A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 перший частини четвертої після слів "органом місцевого самоврядування" доповнити словами "(або військово-цивільною адміністрацією)"</w:t>
      </w:r>
    </w:p>
    <w:p w14:paraId="000000A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 другий частини четвертої виключити;</w:t>
      </w:r>
    </w:p>
    <w:p w14:paraId="000000A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шосту після слів "органом місцевого самоврядування" доповнити словами "(або військово-цивільною адміністрацією)";</w:t>
      </w:r>
    </w:p>
    <w:p w14:paraId="000000B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 частині сьомій слова "та порядок списання неустойки (штрафу, пені), інфляційних нарахувань, процентів річних, нарахованих на заборгованість" виключити;</w:t>
      </w:r>
    </w:p>
    <w:p w14:paraId="000000B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доповнити частиною одинадцятою такого змісту:</w:t>
      </w:r>
    </w:p>
    <w:p w14:paraId="000000B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"11. Заборгованість підприємств централізованого водопостачання, водовідведення за спожиту електричну енергію, реструктуризована станом на 1 травня 2021 року в порядку та на умовах, визначених цим Законом, повторній реструктуризації не підлягає.";</w:t>
      </w:r>
    </w:p>
    <w:p w14:paraId="000000B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7) у статті 7:</w:t>
      </w:r>
    </w:p>
    <w:p w14:paraId="000000B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першу замінити абзацами в такій редакції:</w:t>
      </w:r>
    </w:p>
    <w:p w14:paraId="000000B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На реструктуризовану заборгованість за спожитий природний газ, а також послуги з його розподілу та транспортування, а також за теплову енергію станом на 1 травня 2021 року неустойка (штраф, пеня), інфляційні нарахування, проценти річних не нараховуються.</w:t>
      </w:r>
    </w:p>
    <w:p w14:paraId="000000B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Нараховані на заборгованість за спожитий природний газ, а також послуги з його розподілу та транспортування, утворену станом на 1 травня 2021 року, неустойка (штраф, пеня), інфляційні нарахування, проценти річних, не можуть бути предметом подальшого продажу та врегульовуються, у такий спосіб:</w:t>
      </w:r>
    </w:p>
    <w:p w14:paraId="000000B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списуються з дня набрання чинності цим Законом, у разі якщо погашення основної частини боргу здійснено до 1 травня 2021 року або до моменту укладання договорів про реструктуризацію відповідно до статті 5 цього Закону, у тому числі шляхом проведення взаєморозрахунків відповідно до статті 4 цього Закону;</w:t>
      </w:r>
    </w:p>
    <w:p w14:paraId="000000B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списуються, за умови повного виконання теплогенеруючими та теплопостачальними організаціями умов укладеного договору про реструктуризацію заборгованості.";</w:t>
      </w:r>
    </w:p>
    <w:p w14:paraId="000000B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другу викласти у такій редакції:</w:t>
      </w:r>
    </w:p>
    <w:p w14:paraId="000000B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"2. На заборгованість підприємств централізованого водопостачання та водовідведення за спожиті для виробництва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 електричну енергію, послуги з централізованого водопостачання та водовідведення станом на 1 травня 2021 року неустойка (штраф, пеня), інфляційні нарахування, проценти річних не нараховуються, а нараховані підлягають врегулюванню, за умови розрахунків за поточне споживання електричної енергії протягом останніх трьох місяців поспіль в обсязі не менше 95 відсотків, у такий спосіб:</w:t>
      </w:r>
    </w:p>
    <w:p w14:paraId="000000B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неустойка (штраф, пеня), інфляційні нарахування, проценти річних, нараховані на зазначену в абзаці першому цієї частини заборгованість, погашення якої здійснено до 1 травня 2021 року або до моменту укладання договорів про реструктуризацію відповідно до статті 6 цього Закону, у тому числі шляхом проведення взаєморозрахунків відповідно до статті 4 цього Закону, підлягають списанню;</w:t>
      </w:r>
    </w:p>
    <w:p w14:paraId="000000B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неустойка (штраф, пеня), інфляційні нарахування, проценти річних, нараховані на зазначену в абзаці першому цієї частини заборгованість підлягають списанню, за умови повного виконання підприємствами централізованого водопостачання та водовідведення укладеного договору про реструктуризацію заборгованості.";</w:t>
      </w:r>
    </w:p>
    <w:p w14:paraId="000000B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третю виключити;</w:t>
      </w:r>
    </w:p>
    <w:p w14:paraId="000000B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8) доповнити статтею 8 такого змісту:</w:t>
      </w:r>
    </w:p>
    <w:p w14:paraId="000000B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"Стаття 8. Гарантії забезпечення прав та інтересів кредиторів</w:t>
      </w:r>
    </w:p>
    <w:p w14:paraId="000000C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w:t>
      </w:r>
      <w:r w:rsidRPr="00B07C17">
        <w:rPr>
          <w:rFonts w:ascii="Times New Roman" w:hAnsi="Times New Roman" w:cs="Times New Roman"/>
          <w:sz w:val="28"/>
          <w:szCs w:val="28"/>
        </w:rPr>
        <w:tab/>
        <w:t>Постачальники природного газу та електричної енергії, а також інші учасники процедури урегулювання заборгованості згідно з цим Законом, заборгованість перед якими підлягає врегулюванню із застосуванням визначених цим Законом механізмів, мають право на відшкодування з державного бюджету додаткових витрат на сплату відсотків та інших витрат у зв'язку із запозиченням коштів для покриття касових розривів, що утворилися внаслідок врегулювання заборгованості відповідно до статей 5 - 7 цього Закону, в порядку, затвердженому Кабінетом Міністрів України.</w:t>
      </w:r>
    </w:p>
    <w:p w14:paraId="000000C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w:t>
      </w:r>
      <w:r w:rsidRPr="00B07C17">
        <w:rPr>
          <w:rFonts w:ascii="Times New Roman" w:hAnsi="Times New Roman" w:cs="Times New Roman"/>
          <w:sz w:val="28"/>
          <w:szCs w:val="28"/>
        </w:rPr>
        <w:tab/>
        <w:t xml:space="preserve">Підприємства, що виробляють, транспортують та постачають теплову енергію, надають послуги з централізованого опалення та централізованого постачання гарячої води, які протягом періоду з 1 грудня 2015 року по 31 грудня 2019 року здійснювали відбір природного газу з газотранспортної системи, без поданих номінацій, зобов’язані протягом 60 місяців, починаючи з 1 жовтня 2021 року, щомісячно рівними частинами компенсувати особі, що здійснювала функції оператора газотранспортної системи до 31 грудня 2019 року, вартість відібраних без номінацій обсягів за цінами реалізації природного газу категоріям споживачів, визначеним у Положеннях про покладання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затверджених постановами Кабінету Міністрів України на виконання статті 11 Закону України “Про ринок </w:t>
      </w:r>
      <w:r w:rsidRPr="00B07C17">
        <w:rPr>
          <w:rFonts w:ascii="Times New Roman" w:hAnsi="Times New Roman" w:cs="Times New Roman"/>
          <w:sz w:val="28"/>
          <w:szCs w:val="28"/>
        </w:rPr>
        <w:lastRenderedPageBreak/>
        <w:t>природного газу”, чинних протягом періоду таких відборів для відповідних категорій споживачів;";</w:t>
      </w:r>
    </w:p>
    <w:p w14:paraId="000000C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3. Внести до Закону України "Про виконавче провадження" (Відомості Верховної Ради України, 2016 р., № 30, ст. 542) такі зміни:</w:t>
      </w:r>
    </w:p>
    <w:p w14:paraId="000000C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пункт 6 частини п’ятої статті 27 викласти в такій редакції:</w:t>
      </w:r>
    </w:p>
    <w:p w14:paraId="000000C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"6) за виконавчими документами про стягнення заборгованості, що підлягає врегулюванню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та Закону України "Про заходи, спрямовані на подолання кризових явищ та забезпечення фінансової стабільності на ринку природного газу", а також згідно з постановами державних виконавців, винесеними до набрання чинності цими Законами.";</w:t>
      </w:r>
    </w:p>
    <w:p w14:paraId="000000C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 у статті 34:</w:t>
      </w:r>
    </w:p>
    <w:p w14:paraId="000000C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пункт десятий частини першої викласти в такій редакції:</w:t>
      </w:r>
    </w:p>
    <w:p w14:paraId="000000C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"10) включення підприємств, що виробляють, транспортують та постачають теплову енергію, надають послуги з централізованого опалення та постачання гарячої води, підприємств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 до реєстру підприємств, що беруть участь у процедурі врегулювання заборгованості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 виконавчих проваджень, стягувачами за якими є Національна акціонерна компанія "Нафтогаз України", її дочірня компанія "Газ України", Публічне акціонерне товариство "Укртрансгаз", оператор газотранспортної системи, оператори газорозподільчих систем,  електропостачальники, оператори системи розподілу (як правонаступники в частині прав та обов'язків за договорами на постачання електричної енергії та про користування електричною енергією), в тому числі їхні правонаступники у разі заміни стягувача у виконавчому провадженні, а боржниками - підприємства, що виробляють теплову енергію, транспортують та постачають теплову енергію, надають послуги з централізованого опалення та централізованого постачання гарячої води, послуги з постачання теплової енергії та постачання гарячої води, та підприємства централізованого водопостачання та водовідведення, що надають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w:t>
      </w:r>
    </w:p>
    <w:p w14:paraId="000000C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першу доповнити пунктами 15 та 16 такого змісту:</w:t>
      </w:r>
    </w:p>
    <w:p w14:paraId="000000C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"15) якщо сума, що стягується, підлягає врегулюванню відповідно до процедур передбачених Законом України "Про заходи, спрямовані на подолання кризових явищ та забезпечення фінансової стабільності на ринку природного газу", на строк, необхідний для врегулювання такої заборгованості згідно з </w:t>
      </w:r>
      <w:r w:rsidRPr="00B07C17">
        <w:rPr>
          <w:rFonts w:ascii="Times New Roman" w:hAnsi="Times New Roman" w:cs="Times New Roman"/>
          <w:sz w:val="28"/>
          <w:szCs w:val="28"/>
        </w:rPr>
        <w:lastRenderedPageBreak/>
        <w:t>законом, за умови перебування боржника в реєстрі підприємств, що беруть участь у процедурі врегулювання заборгованості;</w:t>
      </w:r>
    </w:p>
    <w:p w14:paraId="000000C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16) якщо рішенням, на підставі якого видано виконавчий документ, зобов`язано Національну комісію, що здійснює державне регулювання у сферах енергетики та комунальних послуг, встановити оператору газорозподільних систем економічно обґрунтований тариф на послуги розподілу природного газу з включенням компенсацій за період з 1 січня 2015 року по 31 грудня 2020 року включно.";</w:t>
      </w:r>
    </w:p>
    <w:p w14:paraId="000000C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четверту викласти в такій редакції:</w:t>
      </w:r>
    </w:p>
    <w:p w14:paraId="000000C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"4. Виконавче провадження з підстави, передбаченої пунктом 10 частини першої цієї статті, зупиняється у частині стягнення з теплопостачальних та теплогенеруючих організацій заборгованості за спожитий природний газ, використаний станом на 1 травня 2021 року для виробництва теплової енергії, послуг з централізованого опалення та централізованого постачання гарячої води, послуг з постачання теплової енергії та постачання гарячої води (з урахуванням суми неустойки (штрафу, пені), інфляційних нарахувань, процентів річних, нарахованих на заборгованість за спожитий природний газ), а також послуги з транспортування і розподілу природного газу, та підприємств централізованого водопостачання та водовідведення, за електричну енергію спожиту для виробництва та надання послуг з централізованого постачання холодної води та водовідведення (з використанням внутрішньобудинкових систем), послуг з централізованого водопостачання та централізованого водовідведення.";</w:t>
      </w:r>
    </w:p>
    <w:p w14:paraId="000000C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3) у статті 35:</w:t>
      </w:r>
    </w:p>
    <w:p w14:paraId="000000C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 першому реченні частини четвертої статті 35 слова та цифри "крім випадку, передбаченого пунктом 10 частини першої статті 34 цього Закону" замінити словами та цифрами: "крім випадків, передбачених пунктами 10, 15 частини першої статті 34 цього Закону";</w:t>
      </w:r>
    </w:p>
    <w:p w14:paraId="000000C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 частині шостій слова "за спожиті енергоносії" виключити;</w:t>
      </w:r>
    </w:p>
    <w:p w14:paraId="000000D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4) у статті 39:</w:t>
      </w:r>
    </w:p>
    <w:p w14:paraId="000000D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пункт шістнадцятий частини першої викласти в такій редакції:</w:t>
      </w:r>
    </w:p>
    <w:p w14:paraId="000000D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"16) урегулювання (погашення, списання) згідно із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неустойки (штрафів, пені), інших штрафних, фінансових санкцій, а також інфляційних нарахувань і процентів річних, нарахованих на заборгованість теплопостачальних та теплогенеруючих організацій перед Національною акціонерною компанією "Нафтогаз України", її дочірньою компанією "Газ України", Публічним акціонерним товариством "Укртрансгаз", оператором газотранспортної системи та операторами газорозподільних систем, за спожитий природний газ, а також послуги з його транспортування та розподілу відповідно, підприємств централізованого водопостачання та водовідведення, що надають послуги з централізованого постачання холодної води та водовідведення (з використанням внутрішньобудинкових систем), послуги з централізованого водопостачання та централізованого водовідведення, </w:t>
      </w:r>
      <w:r w:rsidRPr="00B07C17">
        <w:rPr>
          <w:rFonts w:ascii="Times New Roman" w:hAnsi="Times New Roman" w:cs="Times New Roman"/>
          <w:sz w:val="28"/>
          <w:szCs w:val="28"/>
        </w:rPr>
        <w:lastRenderedPageBreak/>
        <w:t>перед електропостачальниками або операторами системи розподілу (як правонаступниками в частині прав та обов’язків за договорами на постачання електричної енергії та про користування електричною енергією) за спожиту електричну енергію, що підлягали виконанню на підставі виконавчого документа за судовим рішенням, яке набрало законної сили;"</w:t>
      </w:r>
    </w:p>
    <w:p w14:paraId="000000D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першу доповнити пунктами 19 та 20 такого змісту:</w:t>
      </w:r>
    </w:p>
    <w:p w14:paraId="000000D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"19) урегулювання (погашення, списання) згідно із Законом України "Про заходи, спрямовані на подолання кризових явищ та забезпечення фінансової стабільності на ринку природного газу" неустойки (штрафів, пені), інших штрафних, фінансових санкцій, а також інфляційних нарахувань і процентів річних, нарахованих на заборгованість учасників процедури врегулювання заборгованості, що підлягали виконанню на підставі виконавчого документа за судовим рішенням, яке набрало законної сили;</w:t>
      </w:r>
    </w:p>
    <w:p w14:paraId="000000D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20) урегулювання (погашення, списання) оператором газорозподільної системи заборгованості згідно із Законом України "Про заходи, спрямовані на подолання кризових явищ та забезпечення фінансової стабільності на ринку природного газу", якщо таке виконавче провадження розпочато за рішенням про зобов`язання Національної комісії, що здійснює державне регулювання у сферах енергетики та комунальних послуг, встановити оператору газорозподільних систем економічно обґрунтований тариф на послуги розподілу природного газу з включенням компенсацій за період з 1 січня 2015 року по 31 грудня 2020 року включно.";</w:t>
      </w:r>
    </w:p>
    <w:p w14:paraId="000000D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5) в абзаці другому частини другої статті 59 слова і цифри "а також у випадку, передбаченому пунктом 10 частини першої статті 34 цього Закону" замінити словами і цифрами "а також у випадку, передбаченому пунктами 10, 15 частини першої статті 34 цього Закону";</w:t>
      </w:r>
    </w:p>
    <w:p w14:paraId="000000D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6) додаток "Перелік майна, на яке не може бути звернено стягнення за виконавчими документами" доповнити абзацом такого змісту:</w:t>
      </w:r>
    </w:p>
    <w:p w14:paraId="000000D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"Не може бути звернено стягнення за виконавчими документами на природний газ оператора газосховищ, який використовується для забезпечення власної господарської діяльності (у тому числі для власних виробничо-технічних потреб, покриття витрат та виробничо-технологічних витрат), та на природний газ оператора газотранспортної системи, який використовується для наповнення та забезпечення належного функціонування газотранспортної системи (в тому числі, для власних потреб, виробничо-технологічних витрат, балансування газотранспортної системи).";</w:t>
      </w:r>
    </w:p>
    <w:p w14:paraId="000000D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4. У Законі України "Про ринок природного газу" (Відомості Верховної Ради України, 2015, № 27, ст. 234):</w:t>
      </w:r>
    </w:p>
    <w:p w14:paraId="000000D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частину третю статті 4 доповнити пунктами такого змісту:</w:t>
      </w:r>
    </w:p>
    <w:p w14:paraId="000000D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"7</w:t>
      </w:r>
      <w:r w:rsidRPr="00B07C17">
        <w:rPr>
          <w:rFonts w:ascii="Times New Roman" w:hAnsi="Times New Roman" w:cs="Times New Roman"/>
          <w:sz w:val="28"/>
          <w:szCs w:val="28"/>
          <w:vertAlign w:val="superscript"/>
        </w:rPr>
        <w:t>1</w:t>
      </w:r>
      <w:r w:rsidRPr="00B07C17">
        <w:rPr>
          <w:rFonts w:ascii="Times New Roman" w:hAnsi="Times New Roman" w:cs="Times New Roman"/>
          <w:sz w:val="28"/>
          <w:szCs w:val="28"/>
        </w:rPr>
        <w:t>) визначення порядку надання фінансового забезпечення оплати послуг транспортування та зберігання (закачування, відбору) природного газу, у тому числі вимог до банківських гарантій;</w:t>
      </w:r>
    </w:p>
    <w:p w14:paraId="000000D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7</w:t>
      </w:r>
      <w:r w:rsidRPr="00B07C17">
        <w:rPr>
          <w:rFonts w:ascii="Times New Roman" w:hAnsi="Times New Roman" w:cs="Times New Roman"/>
          <w:sz w:val="28"/>
          <w:szCs w:val="28"/>
          <w:vertAlign w:val="superscript"/>
        </w:rPr>
        <w:t>2</w:t>
      </w:r>
      <w:r w:rsidRPr="00B07C17">
        <w:rPr>
          <w:rFonts w:ascii="Times New Roman" w:hAnsi="Times New Roman" w:cs="Times New Roman"/>
          <w:sz w:val="28"/>
          <w:szCs w:val="28"/>
        </w:rPr>
        <w:t>) затвердження нормативів розподілу коштів з поточних рахунків із спеціальним режимом використання операторів газорозподільної системи;";</w:t>
      </w:r>
    </w:p>
    <w:p w14:paraId="000000D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 статтю 11 доповнити частиною 6 такого змісту:</w:t>
      </w:r>
    </w:p>
    <w:p w14:paraId="000000D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"6. Рішення Кабінету Міністрів України, інших органів виконавчої влади застосовуються в частині, що не суперечить рішенню Кабінету Міністрів України про покладання спеціальних обов'язків на суб'єктів ринку природного газу";</w:t>
      </w:r>
    </w:p>
    <w:p w14:paraId="000000D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3) у статті 19: </w:t>
      </w:r>
    </w:p>
    <w:p w14:paraId="000000E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другу доповнити абзацом такого змісту:</w:t>
      </w:r>
    </w:p>
    <w:p w14:paraId="000000E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"Оператор газотранспортної системи та оператор газосховища  мають право отримати від замовників послуг транспортування або зберігання (закачування, відбору) фінансове забезпечення виконання зобов’язань, зокрема у формі гарантій, для усунення наслідків невиконання замовниками обов’язків щодо здійснення будь-якої плати за договором транспортування або зберігання (закачування, відбору) природного газу. Порядок надання фінансового забезпечення, у тому числі вимоги до банківських гарантій, визначається Кодексом газотранспортної системи та Кодексом газосховищ. Такі вимоги не можуть бути спрямовані на усунення, суттєве обмеження чи спотворення конкуренції на ринку фінансових послуг.";</w:t>
      </w:r>
    </w:p>
    <w:p w14:paraId="000000E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4) статтю 40 доповнити частиною третьою такого змісту:</w:t>
      </w:r>
    </w:p>
    <w:p w14:paraId="000000E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"3. Для проведення розрахунків за послуги розподілу природного газу оператори газорозподільних систем відкривають в установах уповноважених банків поточні рахунки із спеціальним режимом використання для зарахування коштів, що надходять як плата за послуги розподілу природного газу.</w:t>
      </w:r>
    </w:p>
    <w:p w14:paraId="000000E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Уповноважені банки, що обслуговують поточні рахунки із спеціальним режимом використання, визначаються Кабінетом Міністрів України.</w:t>
      </w:r>
    </w:p>
    <w:p w14:paraId="000000E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Порядок відкриття (закриття) поточних рахунків із спеціальним режимом використання та порядок проведення розрахунків за послуги розподілу природного газу затверджуються Кабінетом Міністрів України.</w:t>
      </w:r>
    </w:p>
    <w:p w14:paraId="000000E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Забороняється зарахування коштів за послуги розподілу природного газу на інші рахунки.</w:t>
      </w:r>
    </w:p>
    <w:p w14:paraId="000000E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Оператори газорозподільних систем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послуги розподілу природного газу.</w:t>
      </w:r>
    </w:p>
    <w:p w14:paraId="000000E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Перелік поточних рахунків із спеціальним режимом використання доводиться уповноваженим банком до відома підприємств поштового зв'язку, споживачів та інших учасників розрахунків шляхом опублікування на офіційному веб-сайті уповноваженого банку. Оператори газорозподільних систем протягом 10 робочих днів інформують замовників послуг розподілу природного газу про відкриті в уповноваженому банку поточні рахунки із спеціальним режимом використання.</w:t>
      </w:r>
    </w:p>
    <w:p w14:paraId="000000E9" w14:textId="2DCF7242" w:rsidR="003831EC" w:rsidRPr="00B07C17" w:rsidRDefault="00B64C1D" w:rsidP="00B07C17">
      <w:pPr>
        <w:pStyle w:val="ab"/>
        <w:ind w:firstLine="709"/>
        <w:jc w:val="both"/>
        <w:rPr>
          <w:rFonts w:ascii="Times New Roman" w:hAnsi="Times New Roman" w:cs="Times New Roman"/>
          <w:sz w:val="28"/>
          <w:szCs w:val="28"/>
          <w:shd w:val="clear" w:color="auto" w:fill="FF9900"/>
        </w:rPr>
      </w:pPr>
      <w:r w:rsidRPr="00B07C17">
        <w:rPr>
          <w:rFonts w:ascii="Times New Roman" w:hAnsi="Times New Roman" w:cs="Times New Roman"/>
          <w:sz w:val="28"/>
          <w:szCs w:val="28"/>
        </w:rPr>
        <w:t xml:space="preserve">Оплата за послуги розподілу природного газу здійснюється шляхом перерахування коштів виключно на поточний рахунок із спеціальним режимом використання для зарахування коштів, що надходять за послуги розподілу природного газу. У разі перерахування коштів за розподіл природного газу на інші рахунки, ніж поточні рахунки із спеціальним режимом використання, отримувачі повинні самостійно перерахувати ці кошти </w:t>
      </w:r>
      <w:r w:rsidR="00D15B15" w:rsidRPr="00B07C17">
        <w:rPr>
          <w:rFonts w:ascii="Times New Roman" w:hAnsi="Times New Roman" w:cs="Times New Roman"/>
          <w:sz w:val="28"/>
          <w:szCs w:val="28"/>
        </w:rPr>
        <w:t xml:space="preserve">на такі поточні рахунки </w:t>
      </w:r>
      <w:r w:rsidR="00D15B15" w:rsidRPr="00B07C17">
        <w:rPr>
          <w:rFonts w:ascii="Times New Roman" w:hAnsi="Times New Roman" w:cs="Times New Roman"/>
          <w:sz w:val="28"/>
          <w:szCs w:val="28"/>
        </w:rPr>
        <w:lastRenderedPageBreak/>
        <w:t xml:space="preserve">із спеціальним режимом використання </w:t>
      </w:r>
      <w:r w:rsidRPr="00B07C17">
        <w:rPr>
          <w:rFonts w:ascii="Times New Roman" w:hAnsi="Times New Roman" w:cs="Times New Roman"/>
          <w:sz w:val="28"/>
          <w:szCs w:val="28"/>
        </w:rPr>
        <w:t>у триденний строк з моменту їх отримання, але не раніше дня відкриття таких поточних рахунків зі спеціальним режимом використання.</w:t>
      </w:r>
    </w:p>
    <w:p w14:paraId="000000E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Кошти перераховуються з поточних рахунків із спеціальним режимом використання для зарахування коштів, що надходять за послуги розподілу природного газу, відкритих в установах уповноваженого банку операторами газорозподільних систем згідно з нормативами розподілу коштів, затвердженими Регулятором, виключно на:</w:t>
      </w:r>
    </w:p>
    <w:p w14:paraId="000000E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поточний рахунок оператора газорозподільної системи;</w:t>
      </w:r>
    </w:p>
    <w:p w14:paraId="000000E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 поточний рахунок оператора газотранспортної системи.</w:t>
      </w:r>
    </w:p>
    <w:p w14:paraId="000000E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Такий розподіл коштів передбачає, за відсутності простроченої заборгованості оператора газорозподільної системи перед оператором газотранспортної системи, перерахування у повному обсязі коштів на поточний рахунок оператора газорозподільної системи. </w:t>
      </w:r>
    </w:p>
    <w:p w14:paraId="000000E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У разі виникнення простроченої заборгованості оператора газорозподільної системи перед оператором газотранспортної системи у розмірі, що перевищує 20 відсотків витрат, що забезпечують покриття вартості газу на технологічні та власні потреби такого оператора газорозподільної системи, передбачених Регулятором у складі річної планованої тарифної виручки  від здійснення діяльності з розподілу природного газу у поточному році, оператор газотранспортної системи звертається до Регулятора. Регулятор протягом 5 робочих днів приймає рішення про внесення змін до нормативів розподілу коштів, для погашення такої заборгованості. Такі зміни мають передбачати перерахування коштів з рахунку із спеціальним режимом використання на поточний рахунок оператора газотранспортної системи у розмірі не більше 80 відсотків тарифної виручки від здійснення діяльності з розподілу природного газу такого оператора газорозподільної системи, але у розмірі не менше суми витрат, що забезпечують покриття вартості газу на технологічні та власні потреби такого оператора газорозподільної системи, передбачених Регулятором у складі річної планованої тарифної виручки від здійснення діяльності з розподілу природного газу у поточному році, та планового прибутку у поточному році до повного погашення його заборгованості перед оператором газотранспортної системи. </w:t>
      </w:r>
    </w:p>
    <w:p w14:paraId="000000E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Перерахування коштів з рахунку із спеціальним режимом використання на поточний рахунок оператора газотранспортної системи не обмежує право оператора газотранспортної системи щодо стягнення в судовому порядку простроченої заборгованості та притягнення боржника до іншої відповідальності відповідно до законодавства.</w:t>
      </w:r>
    </w:p>
    <w:p w14:paraId="000000F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На кошти, що знаходяться на поточних рахунках із спеціальним режимом використання, не може бути звернено стягнення.</w:t>
      </w:r>
    </w:p>
    <w:p w14:paraId="000000F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На кошти, що обліковуються за цими рахунками, не накладається арешт, а операції за цими рахунками не підлягають зупиненню.";</w:t>
      </w:r>
    </w:p>
    <w:p w14:paraId="000000F3" w14:textId="215CEF7A"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5)</w:t>
      </w:r>
      <w:r w:rsidR="00B07C17">
        <w:rPr>
          <w:rFonts w:ascii="Times New Roman" w:hAnsi="Times New Roman" w:cs="Times New Roman"/>
          <w:sz w:val="28"/>
          <w:szCs w:val="28"/>
        </w:rPr>
        <w:t xml:space="preserve"> </w:t>
      </w:r>
      <w:r w:rsidRPr="00B07C17">
        <w:rPr>
          <w:rFonts w:ascii="Times New Roman" w:hAnsi="Times New Roman" w:cs="Times New Roman"/>
          <w:sz w:val="28"/>
          <w:szCs w:val="28"/>
        </w:rPr>
        <w:t>у статті 59:</w:t>
      </w:r>
    </w:p>
    <w:p w14:paraId="000000F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частину другу доповнити пунктом 4</w:t>
      </w:r>
      <w:r w:rsidRPr="00B07C17">
        <w:rPr>
          <w:rFonts w:ascii="Times New Roman" w:hAnsi="Times New Roman" w:cs="Times New Roman"/>
          <w:sz w:val="28"/>
          <w:szCs w:val="28"/>
          <w:vertAlign w:val="superscript"/>
        </w:rPr>
        <w:t>1</w:t>
      </w:r>
      <w:r w:rsidRPr="00B07C17">
        <w:rPr>
          <w:rFonts w:ascii="Times New Roman" w:hAnsi="Times New Roman" w:cs="Times New Roman"/>
          <w:sz w:val="28"/>
          <w:szCs w:val="28"/>
        </w:rPr>
        <w:t xml:space="preserve"> такого змісту:</w:t>
      </w:r>
    </w:p>
    <w:p w14:paraId="000000F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"4</w:t>
      </w:r>
      <w:r w:rsidRPr="00B07C17">
        <w:rPr>
          <w:rFonts w:ascii="Times New Roman" w:hAnsi="Times New Roman" w:cs="Times New Roman"/>
          <w:sz w:val="28"/>
          <w:szCs w:val="28"/>
          <w:vertAlign w:val="superscript"/>
        </w:rPr>
        <w:t>1</w:t>
      </w:r>
      <w:r w:rsidRPr="00B07C17">
        <w:rPr>
          <w:rFonts w:ascii="Times New Roman" w:hAnsi="Times New Roman" w:cs="Times New Roman"/>
          <w:sz w:val="28"/>
          <w:szCs w:val="28"/>
        </w:rPr>
        <w:t>) порушення обов’язку із відкриття поточних рахунків зі спеціальним режимом використання для зарахування коштів, що надходять як плата за послуги розподілу природного газу відповідно до частини третьої статті 40 цього Закону, та зарахування коштів за послуги розподілу природного газу на інші рахунки;";</w:t>
      </w:r>
    </w:p>
    <w:p w14:paraId="000000F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пункті п’ятому частині четвертої цифри "50000" замінити цифрами "100000" та доповнити пунктом в</w:t>
      </w:r>
      <w:r w:rsidRPr="00B07C17">
        <w:rPr>
          <w:rFonts w:ascii="Times New Roman" w:hAnsi="Times New Roman" w:cs="Times New Roman"/>
          <w:sz w:val="28"/>
          <w:szCs w:val="28"/>
          <w:vertAlign w:val="superscript"/>
        </w:rPr>
        <w:t>1</w:t>
      </w:r>
      <w:r w:rsidRPr="00B07C17">
        <w:rPr>
          <w:rFonts w:ascii="Times New Roman" w:hAnsi="Times New Roman" w:cs="Times New Roman"/>
          <w:sz w:val="28"/>
          <w:szCs w:val="28"/>
        </w:rPr>
        <w:t>) такого змісту:</w:t>
      </w:r>
    </w:p>
    <w:p w14:paraId="000000F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"в1) порушення обов’язку із відкриття поточних рахунків зі спеціальним режимом використання для зарахування коштів, що надходять як плата за послуги розподілу природного газу відповідно до частини третьої статті 40 цього Закону та зарахування коштів за послуги розподілу природного газу на інші рахунки;";</w:t>
      </w:r>
    </w:p>
    <w:p w14:paraId="000000F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частину першу розділу VII "Прикінцеві і перехідні положення" доповнити абзацом п’ятим такого змісту: </w:t>
      </w:r>
    </w:p>
    <w:p w14:paraId="000000F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"вимог абзацу четвертого частини третьої статті 40 цього Закону, які застосовуються з першого числа третього місяця з дати набрання чинності Законом України "Про заходи, спрямовані на подолання кризових явищ та забезпечення фінансової стабільності на ринку природного газу.";</w:t>
      </w:r>
    </w:p>
    <w:p w14:paraId="000000F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5. У Законі України "Про ринок електричної енергії" (Відомості Верховної Ради України, 2017 р., № 27-28, ст. 312 із наступними змінами): </w:t>
      </w:r>
    </w:p>
    <w:p w14:paraId="000000F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у частині п’ятій статті 33:</w:t>
      </w:r>
    </w:p>
    <w:p w14:paraId="000000F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 п’ятий викласти в такій редакції:</w:t>
      </w:r>
    </w:p>
    <w:p w14:paraId="000000FD" w14:textId="77777777" w:rsidR="003831EC" w:rsidRPr="00B07C17" w:rsidRDefault="00B64C1D" w:rsidP="00B07C17">
      <w:pPr>
        <w:pStyle w:val="ab"/>
        <w:ind w:firstLine="709"/>
        <w:jc w:val="both"/>
        <w:rPr>
          <w:rFonts w:ascii="Times New Roman" w:hAnsi="Times New Roman" w:cs="Times New Roman"/>
          <w:color w:val="000000"/>
          <w:sz w:val="28"/>
          <w:szCs w:val="28"/>
        </w:rPr>
      </w:pPr>
      <w:r w:rsidRPr="00B07C17">
        <w:rPr>
          <w:rFonts w:ascii="Times New Roman" w:hAnsi="Times New Roman" w:cs="Times New Roman"/>
          <w:color w:val="000000"/>
          <w:sz w:val="28"/>
          <w:szCs w:val="28"/>
        </w:rPr>
        <w:t>“Підставою встановлення Регулятором тарифу на передачу підприємству “зеленої” електрометалургії в порядку, передбаченому абзацами п’ятим – тридцять другим цієї частини, є: ”;</w:t>
      </w:r>
    </w:p>
    <w:p w14:paraId="000000FF" w14:textId="310B9396" w:rsidR="003831EC" w:rsidRPr="00B07C17" w:rsidRDefault="00B07C17" w:rsidP="00B07C17">
      <w:pPr>
        <w:pStyle w:val="ab"/>
        <w:ind w:firstLine="709"/>
        <w:jc w:val="both"/>
        <w:rPr>
          <w:rFonts w:ascii="Times New Roman" w:hAnsi="Times New Roman" w:cs="Times New Roman"/>
          <w:sz w:val="28"/>
          <w:szCs w:val="28"/>
        </w:rPr>
      </w:pPr>
      <w:r>
        <w:rPr>
          <w:rFonts w:ascii="Times New Roman" w:hAnsi="Times New Roman" w:cs="Times New Roman"/>
          <w:sz w:val="28"/>
          <w:szCs w:val="28"/>
        </w:rPr>
        <w:t>а</w:t>
      </w:r>
      <w:r w:rsidR="00B64C1D" w:rsidRPr="00B07C17">
        <w:rPr>
          <w:rFonts w:ascii="Times New Roman" w:hAnsi="Times New Roman" w:cs="Times New Roman"/>
          <w:sz w:val="28"/>
          <w:szCs w:val="28"/>
        </w:rPr>
        <w:t>бзаци сьомий – восьмий частини п’ятої замінити абзацами такого змісту:</w:t>
      </w:r>
    </w:p>
    <w:p w14:paraId="0000010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“Центральний орган виконавчої влади, що забезпечує формування державної промислової політики, надає юридичній особі довідку про підтвердження статусу підприємства “зеленої” електрометалургії або лист – відмову у видачі довідки протягом 10 календарних днів з дня отримання звернення.</w:t>
      </w:r>
    </w:p>
    <w:p w14:paraId="0000010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Для одержання такої довідки юридична особа подає безпосередньо до центрального органу виконавчої влади, що забезпечує формування державної промислової політики, надсилає поштою у паперовій формі або через Єдиний державний портал адміністративних послуг “Портал Дія” в електронній формі такі документи:</w:t>
      </w:r>
    </w:p>
    <w:p w14:paraId="0000010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 заяву у довільній формі;</w:t>
      </w:r>
    </w:p>
    <w:p w14:paraId="0000010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 технічну документацію, що підтверджує використання у господарській діяльності обладнання для виробництва сталі електродуговим методом:</w:t>
      </w:r>
    </w:p>
    <w:p w14:paraId="0000010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виписку з переліку основних фондів підприємства, за підписом головного бухгалтера підприємства, підтверджену незалежним аудитором, що підтверджує наявність на балансі юридичної особи електродугової сталеплавильної печі і відсутність на балансі агрегатів, які здатні виробляти сталь альтернативними способами, а саме: мартенівських та/або конверторних печей та/або комплексів доменні печі – мартенівські/конверторні печі; </w:t>
      </w:r>
    </w:p>
    <w:p w14:paraId="0000010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та один з наступних документів:</w:t>
      </w:r>
    </w:p>
    <w:p w14:paraId="0000010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документ про готовність до експлуатації електросталеплавильного комплексу/цеху/заводу з проектним обсягом виплавки сталі не менше 50 000 тон сталі на рік;</w:t>
      </w:r>
    </w:p>
    <w:p w14:paraId="0000010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або </w:t>
      </w:r>
    </w:p>
    <w:p w14:paraId="0000010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затверджену в установленому порядку проектну документацію на будівництво сталеплавильного цеху (комплексу, заводу), який повинен включати в себе електродугову сталеплавильну піч;</w:t>
      </w:r>
    </w:p>
    <w:p w14:paraId="0000010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або </w:t>
      </w:r>
    </w:p>
    <w:p w14:paraId="0000010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затверджену на підприємстві технологічну інструкцію на виробництво сталі в електродуговій печі;</w:t>
      </w:r>
    </w:p>
    <w:p w14:paraId="0000010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3) довідку незалежного аудитора, що підтверджує виробництво за минулий календарний рік підприємством “зеленої” електрометалургії сталевої продукції електродуговим методом в обсязі не менш як 50 000 тон із зазначенням фактичного обсягу виробництва сталі електродуговим способом;</w:t>
      </w:r>
    </w:p>
    <w:p w14:paraId="0000010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4) розрахунок прямих викидів діоксиду вуглецю під час виробництва сталі електродуговим способом, за минулий календарний рік, здійснений відповідно до методики рівня 1 оцінки прямих викидів СО2 при електродуговому способі виплавки металу (том 3 «Промислові процеси і використання продуктів» Керівних принципів національних інвентаризацій парникових газів, Міжурядова група експертів із зміни клімату, 2006, (IPCC </w:t>
      </w:r>
      <w:proofErr w:type="spellStart"/>
      <w:r w:rsidRPr="00B07C17">
        <w:rPr>
          <w:rFonts w:ascii="Times New Roman" w:hAnsi="Times New Roman" w:cs="Times New Roman"/>
          <w:sz w:val="28"/>
          <w:szCs w:val="28"/>
        </w:rPr>
        <w:t>Guidelines</w:t>
      </w:r>
      <w:proofErr w:type="spellEnd"/>
      <w:r w:rsidRPr="00B07C17">
        <w:rPr>
          <w:rFonts w:ascii="Times New Roman" w:hAnsi="Times New Roman" w:cs="Times New Roman"/>
          <w:sz w:val="28"/>
          <w:szCs w:val="28"/>
        </w:rPr>
        <w:t xml:space="preserve"> </w:t>
      </w:r>
      <w:proofErr w:type="spellStart"/>
      <w:r w:rsidRPr="00B07C17">
        <w:rPr>
          <w:rFonts w:ascii="Times New Roman" w:hAnsi="Times New Roman" w:cs="Times New Roman"/>
          <w:sz w:val="28"/>
          <w:szCs w:val="28"/>
        </w:rPr>
        <w:t>for</w:t>
      </w:r>
      <w:proofErr w:type="spellEnd"/>
      <w:r w:rsidRPr="00B07C17">
        <w:rPr>
          <w:rFonts w:ascii="Times New Roman" w:hAnsi="Times New Roman" w:cs="Times New Roman"/>
          <w:sz w:val="28"/>
          <w:szCs w:val="28"/>
        </w:rPr>
        <w:t xml:space="preserve"> </w:t>
      </w:r>
      <w:proofErr w:type="spellStart"/>
      <w:r w:rsidRPr="00B07C17">
        <w:rPr>
          <w:rFonts w:ascii="Times New Roman" w:hAnsi="Times New Roman" w:cs="Times New Roman"/>
          <w:sz w:val="28"/>
          <w:szCs w:val="28"/>
        </w:rPr>
        <w:t>National</w:t>
      </w:r>
      <w:proofErr w:type="spellEnd"/>
      <w:r w:rsidRPr="00B07C17">
        <w:rPr>
          <w:rFonts w:ascii="Times New Roman" w:hAnsi="Times New Roman" w:cs="Times New Roman"/>
          <w:sz w:val="28"/>
          <w:szCs w:val="28"/>
        </w:rPr>
        <w:t xml:space="preserve"> </w:t>
      </w:r>
      <w:proofErr w:type="spellStart"/>
      <w:r w:rsidRPr="00B07C17">
        <w:rPr>
          <w:rFonts w:ascii="Times New Roman" w:hAnsi="Times New Roman" w:cs="Times New Roman"/>
          <w:sz w:val="28"/>
          <w:szCs w:val="28"/>
        </w:rPr>
        <w:t>Greenhouse</w:t>
      </w:r>
      <w:proofErr w:type="spellEnd"/>
      <w:r w:rsidRPr="00B07C17">
        <w:rPr>
          <w:rFonts w:ascii="Times New Roman" w:hAnsi="Times New Roman" w:cs="Times New Roman"/>
          <w:sz w:val="28"/>
          <w:szCs w:val="28"/>
        </w:rPr>
        <w:t xml:space="preserve"> Gas </w:t>
      </w:r>
      <w:proofErr w:type="spellStart"/>
      <w:r w:rsidRPr="00B07C17">
        <w:rPr>
          <w:rFonts w:ascii="Times New Roman" w:hAnsi="Times New Roman" w:cs="Times New Roman"/>
          <w:sz w:val="28"/>
          <w:szCs w:val="28"/>
        </w:rPr>
        <w:t>Inventories</w:t>
      </w:r>
      <w:proofErr w:type="spellEnd"/>
      <w:r w:rsidRPr="00B07C17">
        <w:rPr>
          <w:rFonts w:ascii="Times New Roman" w:hAnsi="Times New Roman" w:cs="Times New Roman"/>
          <w:sz w:val="28"/>
          <w:szCs w:val="28"/>
        </w:rPr>
        <w:t xml:space="preserve"> 2006, </w:t>
      </w:r>
      <w:proofErr w:type="spellStart"/>
      <w:r w:rsidRPr="00B07C17">
        <w:rPr>
          <w:rFonts w:ascii="Times New Roman" w:hAnsi="Times New Roman" w:cs="Times New Roman"/>
          <w:sz w:val="28"/>
          <w:szCs w:val="28"/>
        </w:rPr>
        <w:t>Chapter</w:t>
      </w:r>
      <w:proofErr w:type="spellEnd"/>
      <w:r w:rsidRPr="00B07C17">
        <w:rPr>
          <w:rFonts w:ascii="Times New Roman" w:hAnsi="Times New Roman" w:cs="Times New Roman"/>
          <w:sz w:val="28"/>
          <w:szCs w:val="28"/>
        </w:rPr>
        <w:t xml:space="preserve"> 4: </w:t>
      </w:r>
      <w:proofErr w:type="spellStart"/>
      <w:r w:rsidRPr="00B07C17">
        <w:rPr>
          <w:rFonts w:ascii="Times New Roman" w:hAnsi="Times New Roman" w:cs="Times New Roman"/>
          <w:sz w:val="28"/>
          <w:szCs w:val="28"/>
        </w:rPr>
        <w:t>Metal</w:t>
      </w:r>
      <w:proofErr w:type="spellEnd"/>
      <w:r w:rsidRPr="00B07C17">
        <w:rPr>
          <w:rFonts w:ascii="Times New Roman" w:hAnsi="Times New Roman" w:cs="Times New Roman"/>
          <w:sz w:val="28"/>
          <w:szCs w:val="28"/>
        </w:rPr>
        <w:t xml:space="preserve"> </w:t>
      </w:r>
      <w:proofErr w:type="spellStart"/>
      <w:r w:rsidRPr="00B07C17">
        <w:rPr>
          <w:rFonts w:ascii="Times New Roman" w:hAnsi="Times New Roman" w:cs="Times New Roman"/>
          <w:sz w:val="28"/>
          <w:szCs w:val="28"/>
        </w:rPr>
        <w:t>Industry</w:t>
      </w:r>
      <w:proofErr w:type="spellEnd"/>
      <w:r w:rsidRPr="00B07C17">
        <w:rPr>
          <w:rFonts w:ascii="Times New Roman" w:hAnsi="Times New Roman" w:cs="Times New Roman"/>
          <w:sz w:val="28"/>
          <w:szCs w:val="28"/>
        </w:rPr>
        <w:t xml:space="preserve"> </w:t>
      </w:r>
      <w:proofErr w:type="spellStart"/>
      <w:r w:rsidRPr="00B07C17">
        <w:rPr>
          <w:rFonts w:ascii="Times New Roman" w:hAnsi="Times New Roman" w:cs="Times New Roman"/>
          <w:sz w:val="28"/>
          <w:szCs w:val="28"/>
        </w:rPr>
        <w:t>Emissions</w:t>
      </w:r>
      <w:proofErr w:type="spellEnd"/>
      <w:r w:rsidRPr="00B07C17">
        <w:rPr>
          <w:rFonts w:ascii="Times New Roman" w:hAnsi="Times New Roman" w:cs="Times New Roman"/>
          <w:sz w:val="28"/>
          <w:szCs w:val="28"/>
        </w:rPr>
        <w:t>) (далі – розрахунок прямих викидів діоксиду вуглецю відповідно до методики рівня 1 оцінки прямих викидів СО2).</w:t>
      </w:r>
    </w:p>
    <w:p w14:paraId="0000010D"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Для цілей підтвердження розрахунку прямих викидів діоксиду вуглецю відповідно до методики рівня 1 оцінки прямих викидів СО2 центральний орган виконавчої влади, що забезпечує формування державної промислової політики, може звернутись за підтвердженням до центрального органу виконавчої влади, що реалізує державну політику у сфері охорони навколишнього природного середовища, в порядку міжвідомчого обміну інформацією. Якщо центральний орган виконавчої влади, що реалізує державну політику у сфері охорони навколишнього природного середовища, не висловив своєї позиції щодо розрахунку прямих викидів діоксиду вуглецю відповідно до методики рівня 1 оцінки прямих викидів СО2 протягом 7 календарних днів з дати подання юридичною особою заяви для одержання довідки про підтвердження статусу підприємства “зеленої” електрометалургії, зазначений розрахунок вважається підтвердженим;</w:t>
      </w:r>
    </w:p>
    <w:p w14:paraId="0000010E"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5) звіт про викиди парникових газів, підготовлений відповідно до Закону України «Про засади моніторингу, звітності та верифікації викидів парникових газів», з підтвердженням центрального органу виконавчої влади, що реалізує державну політику у сфері охорони навколишнього природного середовища, у сфері моніторингу, звітності та верифікації викидів парникових газів, про його прийняття</w:t>
      </w:r>
    </w:p>
    <w:p w14:paraId="0000010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6) розрахунок прямих викидів діоксиду вуглецю в результаті виробництва сталі на тону сталевої продукції виключно електродуговим методом </w:t>
      </w:r>
      <w:r w:rsidRPr="00B07C17">
        <w:rPr>
          <w:rFonts w:ascii="Times New Roman" w:hAnsi="Times New Roman" w:cs="Times New Roman"/>
          <w:sz w:val="28"/>
          <w:szCs w:val="28"/>
        </w:rPr>
        <w:lastRenderedPageBreak/>
        <w:t>виробництва за минулий календарний рік, який підтверджує, що прямі викиди діоксиду вуглецю в результаті виробництва сталі є не більшими від 250 кілограмів на тону сталевої продукції. Розрахунок здійснюється шляхом ділення прямих викидів діоксиду вуглецю під час виробництва сталі електродуговим способом за минулий календарний рік, визначених згідно передбачених цією статтею положень, на фактичний обсяг виробництва сталі електродуговим способом за минулий календарний рік.</w:t>
      </w:r>
    </w:p>
    <w:p w14:paraId="0000011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Відповідальність за достовірність інформації, наданої в заяві та доданих до неї документах несе юридична особа, яка звернулася за </w:t>
      </w:r>
      <w:proofErr w:type="spellStart"/>
      <w:r w:rsidRPr="00B07C17">
        <w:rPr>
          <w:rFonts w:ascii="Times New Roman" w:hAnsi="Times New Roman" w:cs="Times New Roman"/>
          <w:sz w:val="28"/>
          <w:szCs w:val="28"/>
        </w:rPr>
        <w:t>видачею</w:t>
      </w:r>
      <w:proofErr w:type="spellEnd"/>
      <w:r w:rsidRPr="00B07C17">
        <w:rPr>
          <w:rFonts w:ascii="Times New Roman" w:hAnsi="Times New Roman" w:cs="Times New Roman"/>
          <w:sz w:val="28"/>
          <w:szCs w:val="28"/>
        </w:rPr>
        <w:t xml:space="preserve"> довідки.</w:t>
      </w:r>
    </w:p>
    <w:p w14:paraId="0000011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Видача довідки здійснюється безоплатно.</w:t>
      </w:r>
    </w:p>
    <w:p w14:paraId="0000011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Центральний орган виконавчої влади, що забезпечує формування державної промислової політики відмовляє у видачі довідки у разі, коли:</w:t>
      </w:r>
    </w:p>
    <w:p w14:paraId="0000011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поданих юридичною особою документах виявлено недостовірну інформацію;</w:t>
      </w:r>
    </w:p>
    <w:p w14:paraId="0000011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документи подано з порушенням вимог, зазначених в цьому Законі, в тому числі вимог комплектності та оформлення документів;</w:t>
      </w:r>
    </w:p>
    <w:p w14:paraId="0000011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заява, додані до неї документи (документ), підписані (засвідчені) особою, яка не має на це повноважень;</w:t>
      </w:r>
    </w:p>
    <w:p w14:paraId="0000011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Єдиному державному реєстрі юридичних осіб, фізичних осіб – підприємців та громадських формувань відсутні відомості про юридичну особу або наявні відомості про її припинення.</w:t>
      </w:r>
    </w:p>
    <w:p w14:paraId="0000011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Довідка видається юридичній особі в паперовому вигляді. У разі оформлення довідки в електронній формі, її видача здійснюється шляхом надсилання через Єдиний державний портал адміністративних послуг “Портал Дія” до електронного кабінету юридичної особи (за його наявності), зазначеного у заяві на одержання довідки, протягом одного робочого дня з дня видачі довідки.</w:t>
      </w:r>
    </w:p>
    <w:p w14:paraId="0000011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Строк дії довідки становить один рік, що обчислюється з моменту її видачі. </w:t>
      </w:r>
    </w:p>
    <w:p w14:paraId="0000011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Форма довідки про підтвердження статусу підприємства “зеленої” електрометалургії затверджується Центральним органом виконавчої влади, що забезпечує формування державної промислової політики."</w:t>
      </w:r>
    </w:p>
    <w:p w14:paraId="0000011C" w14:textId="3F56FA26"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2) </w:t>
      </w:r>
      <w:r w:rsidR="00B07C17">
        <w:rPr>
          <w:rFonts w:ascii="Times New Roman" w:hAnsi="Times New Roman" w:cs="Times New Roman"/>
          <w:sz w:val="28"/>
          <w:szCs w:val="28"/>
        </w:rPr>
        <w:t>у</w:t>
      </w:r>
      <w:r w:rsidR="00EA3064" w:rsidRPr="00B07C17">
        <w:rPr>
          <w:rFonts w:ascii="Times New Roman" w:hAnsi="Times New Roman" w:cs="Times New Roman"/>
          <w:sz w:val="28"/>
          <w:szCs w:val="28"/>
          <w:lang w:val="ru-RU"/>
        </w:rPr>
        <w:t xml:space="preserve"> </w:t>
      </w:r>
      <w:r w:rsidRPr="00B07C17">
        <w:rPr>
          <w:rFonts w:ascii="Times New Roman" w:hAnsi="Times New Roman" w:cs="Times New Roman"/>
          <w:sz w:val="28"/>
          <w:szCs w:val="28"/>
        </w:rPr>
        <w:t>Розділ</w:t>
      </w:r>
      <w:r w:rsidR="00EA3064" w:rsidRPr="00B07C17">
        <w:rPr>
          <w:rFonts w:ascii="Times New Roman" w:hAnsi="Times New Roman" w:cs="Times New Roman"/>
          <w:sz w:val="28"/>
          <w:szCs w:val="28"/>
        </w:rPr>
        <w:t>і</w:t>
      </w:r>
      <w:r w:rsidRPr="00B07C17">
        <w:rPr>
          <w:rFonts w:ascii="Times New Roman" w:hAnsi="Times New Roman" w:cs="Times New Roman"/>
          <w:sz w:val="28"/>
          <w:szCs w:val="28"/>
        </w:rPr>
        <w:t xml:space="preserve"> XVII «Прикінцеві та перехідні положення»</w:t>
      </w:r>
      <w:r w:rsidR="00EA3064" w:rsidRPr="00B07C17">
        <w:rPr>
          <w:rFonts w:ascii="Times New Roman" w:hAnsi="Times New Roman" w:cs="Times New Roman"/>
          <w:sz w:val="28"/>
          <w:szCs w:val="28"/>
        </w:rPr>
        <w:t>:</w:t>
      </w:r>
      <w:r w:rsidRPr="00B07C17">
        <w:rPr>
          <w:rFonts w:ascii="Times New Roman" w:hAnsi="Times New Roman" w:cs="Times New Roman"/>
          <w:sz w:val="28"/>
          <w:szCs w:val="28"/>
        </w:rPr>
        <w:t xml:space="preserve"> </w:t>
      </w:r>
    </w:p>
    <w:p w14:paraId="2CEF7012" w14:textId="47176367" w:rsidR="00EA3064" w:rsidRPr="00B07C17" w:rsidRDefault="00EA3064"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пункт 1 після восьмого абзацу доповнити новими абзацами такого змісту:</w:t>
      </w:r>
    </w:p>
    <w:p w14:paraId="78AB3F86" w14:textId="77777777" w:rsidR="00EA3064" w:rsidRPr="00B07C17" w:rsidRDefault="00EA3064"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«Установити, що:</w:t>
      </w:r>
    </w:p>
    <w:p w14:paraId="5CB0E17A" w14:textId="77777777" w:rsidR="00EA3064" w:rsidRPr="00B07C17" w:rsidRDefault="00EA3064"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 положення абзаців 19,20 частини п’ятої статті 33 цього Закону не застосовуються з 1 квітня 2022 року;</w:t>
      </w:r>
    </w:p>
    <w:p w14:paraId="08C6F172" w14:textId="77777777" w:rsidR="00EA3064" w:rsidRPr="00B07C17" w:rsidRDefault="00EA3064"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положення абзацу 21 частини п’ятої статті 33 цього Закону не застосовуються до 1 квітня 2022 року;»</w:t>
      </w:r>
    </w:p>
    <w:p w14:paraId="3835D8B6" w14:textId="47F6B9F3" w:rsidR="00EA3064" w:rsidRPr="00B07C17" w:rsidRDefault="00EA3064"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абзаци четвертий та п’ятий пункту 9 замінити абзацом такого змісту:</w:t>
      </w:r>
    </w:p>
    <w:p w14:paraId="0000011D" w14:textId="6CCAB95B"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«У разі істотного коливання цін на ринку "на добу наперед", внутрішньодобовому ринку та балансуючому ринку Регулятор має право, до 31 грудня 2021 року після консультацій з Секретаріатом Енергетичного Співтовариства та Антимонопольним комітетом України, а з 01 січня 2022 року відповідно до методики, визначеної Регулятором, встановлювати граничні ціни (тимчасові мінімальні та/або максимальні цінові межі) на ринку "на добу </w:t>
      </w:r>
      <w:r w:rsidRPr="00B07C17">
        <w:rPr>
          <w:rFonts w:ascii="Times New Roman" w:hAnsi="Times New Roman" w:cs="Times New Roman"/>
          <w:sz w:val="28"/>
          <w:szCs w:val="28"/>
        </w:rPr>
        <w:lastRenderedPageBreak/>
        <w:t>наперед", внутрішньодобовому ринку та балансуючому ринку для кожної торгової зони з відповідним обґрунтуванням. Рівень граничних цін має впливати на формування вільної (ринкової) ціни у мінімальний спосіб. Доцільність встановлення і рівень граничних цін у разі їх встановлення мають переглядатися Регулятором не менше одного разу на шість місяців.»</w:t>
      </w:r>
    </w:p>
    <w:p w14:paraId="0000012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6. У статті 19</w:t>
      </w:r>
      <w:r w:rsidRPr="00B07C17">
        <w:rPr>
          <w:rFonts w:ascii="Times New Roman" w:hAnsi="Times New Roman" w:cs="Times New Roman"/>
          <w:sz w:val="28"/>
          <w:szCs w:val="28"/>
          <w:vertAlign w:val="superscript"/>
        </w:rPr>
        <w:t>1</w:t>
      </w:r>
      <w:r w:rsidRPr="00B07C17">
        <w:rPr>
          <w:rFonts w:ascii="Times New Roman" w:hAnsi="Times New Roman" w:cs="Times New Roman"/>
          <w:sz w:val="28"/>
          <w:szCs w:val="28"/>
        </w:rPr>
        <w:t xml:space="preserve">  Закону України "Про теплопостачання" (Відомості Верховної Ради України, 2005, № 28, ст. 373):</w:t>
      </w:r>
    </w:p>
    <w:p w14:paraId="0000012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w:t>
      </w:r>
      <w:r w:rsidRPr="00B07C17">
        <w:rPr>
          <w:rFonts w:ascii="Times New Roman" w:hAnsi="Times New Roman" w:cs="Times New Roman"/>
          <w:sz w:val="28"/>
          <w:szCs w:val="28"/>
        </w:rPr>
        <w:tab/>
        <w:t>у назві статті та далі за текстом статті слова "гарантованим постачальником" замінити словами "постачальником природного газу, на якого покладено спеціальні обов’язки" у відповідних відмінках;</w:t>
      </w:r>
    </w:p>
    <w:p w14:paraId="00000127"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2)</w:t>
      </w:r>
      <w:r w:rsidRPr="00B07C17">
        <w:rPr>
          <w:rFonts w:ascii="Times New Roman" w:hAnsi="Times New Roman" w:cs="Times New Roman"/>
          <w:sz w:val="28"/>
          <w:szCs w:val="28"/>
        </w:rPr>
        <w:tab/>
        <w:t>абзац дванадцятий замінити абзацами такого змісту:</w:t>
      </w:r>
    </w:p>
    <w:p w14:paraId="0000012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"оператора газотранспортної системи (якщо теплопостачальна або теплогенеруюча організація є замовником послуг транспортування природного газу);</w:t>
      </w:r>
    </w:p>
    <w:p w14:paraId="0000012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оператора газорозподільної системи (якщо теплопостачальна або теплогенеруюча організація є замовником послуг розподілу природного газу).";</w:t>
      </w:r>
    </w:p>
    <w:p w14:paraId="0000012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3)</w:t>
      </w:r>
      <w:r w:rsidRPr="00B07C17">
        <w:rPr>
          <w:rFonts w:ascii="Times New Roman" w:hAnsi="Times New Roman" w:cs="Times New Roman"/>
          <w:sz w:val="28"/>
          <w:szCs w:val="28"/>
        </w:rPr>
        <w:tab/>
        <w:t>доповнити абзацом такого змісту:</w:t>
      </w:r>
    </w:p>
    <w:p w14:paraId="0000012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разі припинення постачання природного газу постачальником природного газу, на якого покладено спеціальні обов’язки, вимоги цієї статті поширюються на розрахунки за теплову енергію до погашення заборгованості за природний газ постачальнику природного газу, на якого покладено спеціальні обов’язки.";</w:t>
      </w:r>
    </w:p>
    <w:p w14:paraId="0000012C"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7. У Законі України "Про місцеве самоврядування в Україні" (Відомості Верховної Ради України, 1997, № 24, ст. 170):</w:t>
      </w:r>
    </w:p>
    <w:p w14:paraId="0000012F"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у частині другій статті 70 після слів "що належать до комунальної власності відповідних територіальних громад" доповнити словами ", а також зобов’язань інших підприємств, установ та організацій у випадках, передбачених цим Законом";</w:t>
      </w:r>
    </w:p>
    <w:p w14:paraId="00000130"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розділ ІІ "Прикінцеві та перехідні положення" доповнити пунктом 11</w:t>
      </w:r>
      <w:r w:rsidRPr="00B07C17">
        <w:rPr>
          <w:rFonts w:ascii="Times New Roman" w:hAnsi="Times New Roman" w:cs="Times New Roman"/>
          <w:sz w:val="28"/>
          <w:szCs w:val="28"/>
          <w:vertAlign w:val="superscript"/>
        </w:rPr>
        <w:t xml:space="preserve">2 </w:t>
      </w:r>
      <w:r w:rsidRPr="00B07C17">
        <w:rPr>
          <w:rFonts w:ascii="Times New Roman" w:hAnsi="Times New Roman" w:cs="Times New Roman"/>
          <w:sz w:val="28"/>
          <w:szCs w:val="28"/>
        </w:rPr>
        <w:t>такого змісту:</w:t>
      </w:r>
    </w:p>
    <w:p w14:paraId="00000131"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"11</w:t>
      </w:r>
      <w:r w:rsidRPr="00B07C17">
        <w:rPr>
          <w:rFonts w:ascii="Times New Roman" w:hAnsi="Times New Roman" w:cs="Times New Roman"/>
          <w:sz w:val="28"/>
          <w:szCs w:val="28"/>
          <w:vertAlign w:val="superscript"/>
        </w:rPr>
        <w:t>2</w:t>
      </w:r>
      <w:r w:rsidRPr="00B07C17">
        <w:rPr>
          <w:rFonts w:ascii="Times New Roman" w:hAnsi="Times New Roman" w:cs="Times New Roman"/>
          <w:sz w:val="28"/>
          <w:szCs w:val="28"/>
        </w:rPr>
        <w:t>. Установити, що тимчасово, на період процедури урегулювання заборгованості згідно із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w:t>
      </w:r>
    </w:p>
    <w:p w14:paraId="00000132"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органи місцевого самоврядування можуть виступати гарантами виконання зобов’язань за договорами реструктуризації заборгованості, укладеними відповідно до статей 5 та 6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підприємств, установ та організацій, що не належать до комунальної власності відповідних територіальних громад, але при цьому провадять ліцензовану господарську діяльність з виробництва теплової енергії, транспортування її магістральними та місцевими (розподільчими) тепловими мережами на виробничих об’єктах, що розташовані на території відповідної області або </w:t>
      </w:r>
      <w:r w:rsidRPr="00B07C17">
        <w:rPr>
          <w:rFonts w:ascii="Times New Roman" w:hAnsi="Times New Roman" w:cs="Times New Roman"/>
          <w:sz w:val="28"/>
          <w:szCs w:val="28"/>
        </w:rPr>
        <w:lastRenderedPageBreak/>
        <w:t xml:space="preserve">громади, здійснюють постачання теплової енергії та відповідних послуг споживачам; </w:t>
      </w:r>
    </w:p>
    <w:p w14:paraId="00000133"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органи місцевого самоврядування при формуванні бюджетів територіальних громад передбачають видатки на фінансування заходів з урегулювання заборгованості, передбачених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w:t>
      </w:r>
    </w:p>
    <w:p w14:paraId="0000013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виконання зобов'язань за договорами про реструктуризацію заборгованості для суб’єктів господарювання, засновник яких знаходиться на території, де органи державної влади тимчасово не здійснюють свої повноваження, забезпечується шляхом прийняття відповідного рішення військово-цивільною адміністрацією, яка виконує повноваження відповідних органів у районі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де зареєстровано суб’єкт господарювання.";</w:t>
      </w:r>
    </w:p>
    <w:p w14:paraId="000001A3" w14:textId="7C53E72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8. Установити, що на заборгованість дочірньої компанії «Газ України» перед НАК «Нафтогаз України» за поставлений природний газ, неустойка (штраф, пеня), інфляційні нарахування, проценти річних не нараховуються, а нараховані підлягають списанню з дня набрання чинності цим Законом.</w:t>
      </w:r>
    </w:p>
    <w:p w14:paraId="000001A4"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9. У разі передачі АТ "Дніпровська ТЕЦ", АТ “Херсонська ТЕЦ", АТ "Криворізька теплоцентраль", ПАТ "Одеська ТЕЦ", ПрАТ "Миколаївська ТЕЦ", ДП "Сєвєродонецька ТЕЦ", корпоративні права яких належать державі, у власність НАК "Нафтогаз України":</w:t>
      </w:r>
    </w:p>
    <w:p w14:paraId="000001A5"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на виконавчі провадження, у яких вказані у цьому пункті теплоелектроцентралі є боржником, протягом 5 років після дати такої передачі поширюється дія пункту 12 частини першої статті 34 Закону України "Про виконавче провадження" та виконавчі провадження, зупинені згідно пунктом 12 частини першої статті 34 Закону України "Про виконавче провадження", у яких вказані у цьому пункті теплоелектроцентралі є боржниками, можуть бути поновлені не раніше ніж через 5 років після дати такої передачі. Відносно вказаних у цьому пункті товариств справи про банкрутство не порушуються протягом 5 років після дати такої передачі, а провадження у справах про банкрутство теплоелектроцентралей, вказаних у цьому пункті підлягає припиненню, крім тих, що ліквідуються за рішенням власника;</w:t>
      </w:r>
    </w:p>
    <w:p w14:paraId="000001A6"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вимоги частин другої та четвертої статті 5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(Відомості Верховної Ради України, 2016, № 51, ст. 839) щодо забезпечення зобов’язань за договорами реструктуризації заборгованості до теплоелектроцентралей, вказаних у цьому пункті, протягом періоду їх перебування у власності НАК "Нафтогаз України"  не застосовуються.</w:t>
      </w:r>
    </w:p>
    <w:p w14:paraId="000001A7" w14:textId="77777777" w:rsidR="003831EC" w:rsidRPr="00B07C17" w:rsidRDefault="00B64C1D" w:rsidP="00B07C17">
      <w:pPr>
        <w:pStyle w:val="ab"/>
        <w:ind w:firstLine="709"/>
        <w:jc w:val="both"/>
        <w:rPr>
          <w:rFonts w:ascii="Times New Roman" w:hAnsi="Times New Roman" w:cs="Times New Roman"/>
          <w:strike/>
          <w:sz w:val="28"/>
          <w:szCs w:val="28"/>
        </w:rPr>
      </w:pPr>
      <w:r w:rsidRPr="00B07C17">
        <w:rPr>
          <w:rFonts w:ascii="Times New Roman" w:hAnsi="Times New Roman" w:cs="Times New Roman"/>
          <w:sz w:val="28"/>
          <w:szCs w:val="28"/>
        </w:rPr>
        <w:t>10. Кабінету Міністрів України та Національній комісії, що здійснює державне регулювання  в сферах енергетики та комунальних послуг, у місячний строк з дня набрання чинності цим Законом:</w:t>
      </w:r>
    </w:p>
    <w:p w14:paraId="000001A8"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lastRenderedPageBreak/>
        <w:t>прийняти нормативно-правові акти, передбачені цим Законом;</w:t>
      </w:r>
    </w:p>
    <w:p w14:paraId="000001A9"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привести свої нормативно-правові акти у відповідність із цим Законом;</w:t>
      </w:r>
    </w:p>
    <w:p w14:paraId="000001AA"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забезпечити розрахунки пільг та житлових субсидій населенню на оплату житлово-комунальних послуг, їх виплату у грошовій формі;</w:t>
      </w:r>
    </w:p>
    <w:p w14:paraId="000001AB" w14:textId="77777777"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000001B1" w14:textId="30A50FA8"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color w:val="000000"/>
          <w:sz w:val="28"/>
          <w:szCs w:val="28"/>
        </w:rPr>
        <w:t xml:space="preserve">11. </w:t>
      </w:r>
      <w:r w:rsidRPr="00B07C17">
        <w:rPr>
          <w:rFonts w:ascii="Times New Roman" w:hAnsi="Times New Roman" w:cs="Times New Roman"/>
          <w:sz w:val="28"/>
          <w:szCs w:val="28"/>
        </w:rPr>
        <w:t>Центральному органу виконавчої влади, що забезпечує формування державної промислової політики у двомісячний строк з дня набрання чинності цим Законом розробити та затвердити форму довідки про підтвердження статусу підприємства “зеленої” електрометалургії.</w:t>
      </w:r>
    </w:p>
    <w:p w14:paraId="000001B5" w14:textId="77777777" w:rsidR="003831EC" w:rsidRPr="00B07C17" w:rsidRDefault="003831EC" w:rsidP="00B07C17">
      <w:pPr>
        <w:pStyle w:val="ab"/>
        <w:ind w:firstLine="709"/>
        <w:jc w:val="both"/>
        <w:rPr>
          <w:rFonts w:ascii="Times New Roman" w:hAnsi="Times New Roman" w:cs="Times New Roman"/>
          <w:sz w:val="28"/>
          <w:szCs w:val="28"/>
        </w:rPr>
      </w:pPr>
    </w:p>
    <w:p w14:paraId="777F165F" w14:textId="77777777" w:rsidR="00B07C17" w:rsidRDefault="00B07C17" w:rsidP="00B07C17">
      <w:pPr>
        <w:pStyle w:val="ab"/>
        <w:ind w:firstLine="709"/>
        <w:jc w:val="both"/>
        <w:rPr>
          <w:rFonts w:ascii="Times New Roman" w:hAnsi="Times New Roman" w:cs="Times New Roman"/>
          <w:sz w:val="28"/>
          <w:szCs w:val="28"/>
        </w:rPr>
      </w:pPr>
    </w:p>
    <w:p w14:paraId="76C8E97F" w14:textId="77777777" w:rsidR="00B07C17" w:rsidRDefault="00B07C17" w:rsidP="00B07C17">
      <w:pPr>
        <w:pStyle w:val="ab"/>
        <w:ind w:firstLine="709"/>
        <w:jc w:val="both"/>
        <w:rPr>
          <w:rFonts w:ascii="Times New Roman" w:hAnsi="Times New Roman" w:cs="Times New Roman"/>
          <w:sz w:val="28"/>
          <w:szCs w:val="28"/>
        </w:rPr>
      </w:pPr>
    </w:p>
    <w:p w14:paraId="79B15070" w14:textId="3BB701B2" w:rsid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 xml:space="preserve">Голова </w:t>
      </w:r>
    </w:p>
    <w:p w14:paraId="000001B6" w14:textId="3A7D72FE" w:rsidR="003831EC" w:rsidRPr="00B07C17" w:rsidRDefault="00B64C1D" w:rsidP="00B07C17">
      <w:pPr>
        <w:pStyle w:val="ab"/>
        <w:ind w:firstLine="709"/>
        <w:jc w:val="both"/>
        <w:rPr>
          <w:rFonts w:ascii="Times New Roman" w:hAnsi="Times New Roman" w:cs="Times New Roman"/>
          <w:sz w:val="28"/>
          <w:szCs w:val="28"/>
        </w:rPr>
      </w:pPr>
      <w:r w:rsidRPr="00B07C17">
        <w:rPr>
          <w:rFonts w:ascii="Times New Roman" w:hAnsi="Times New Roman" w:cs="Times New Roman"/>
          <w:sz w:val="28"/>
          <w:szCs w:val="28"/>
        </w:rPr>
        <w:t>Верховної Ради України                                                        Д.РАЗУМКОВ</w:t>
      </w:r>
    </w:p>
    <w:sectPr w:rsidR="003831EC" w:rsidRPr="00B07C17" w:rsidSect="00B07C17">
      <w:footerReference w:type="default" r:id="rId6"/>
      <w:pgSz w:w="11906" w:h="16838"/>
      <w:pgMar w:top="851" w:right="851"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72250" w14:textId="77777777" w:rsidR="005D07B4" w:rsidRDefault="005D07B4">
      <w:pPr>
        <w:spacing w:after="0" w:line="240" w:lineRule="auto"/>
      </w:pPr>
      <w:r>
        <w:separator/>
      </w:r>
    </w:p>
  </w:endnote>
  <w:endnote w:type="continuationSeparator" w:id="0">
    <w:p w14:paraId="218AF267" w14:textId="77777777" w:rsidR="005D07B4" w:rsidRDefault="005D0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576279"/>
      <w:docPartObj>
        <w:docPartGallery w:val="Page Numbers (Bottom of Page)"/>
        <w:docPartUnique/>
      </w:docPartObj>
    </w:sdtPr>
    <w:sdtEndPr/>
    <w:sdtContent>
      <w:p w14:paraId="1CE68BA5" w14:textId="38E0DD3B" w:rsidR="00B07C17" w:rsidRDefault="00B07C17">
        <w:pPr>
          <w:pStyle w:val="a6"/>
          <w:jc w:val="right"/>
        </w:pPr>
        <w:r>
          <w:fldChar w:fldCharType="begin"/>
        </w:r>
        <w:r>
          <w:instrText>PAGE   \* MERGEFORMAT</w:instrText>
        </w:r>
        <w:r>
          <w:fldChar w:fldCharType="separate"/>
        </w:r>
        <w:r w:rsidR="009E12AD">
          <w:rPr>
            <w:noProof/>
          </w:rPr>
          <w:t>21</w:t>
        </w:r>
        <w:r>
          <w:fldChar w:fldCharType="end"/>
        </w:r>
      </w:p>
    </w:sdtContent>
  </w:sdt>
  <w:p w14:paraId="6B3E6B85" w14:textId="77777777" w:rsidR="00B07C17" w:rsidRDefault="00B07C1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052563" w14:textId="77777777" w:rsidR="005D07B4" w:rsidRDefault="005D07B4">
      <w:pPr>
        <w:spacing w:after="0" w:line="240" w:lineRule="auto"/>
      </w:pPr>
      <w:r>
        <w:separator/>
      </w:r>
    </w:p>
  </w:footnote>
  <w:footnote w:type="continuationSeparator" w:id="0">
    <w:p w14:paraId="3D5DF02D" w14:textId="77777777" w:rsidR="005D07B4" w:rsidRDefault="005D07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EC"/>
    <w:rsid w:val="000B69F8"/>
    <w:rsid w:val="00345AFA"/>
    <w:rsid w:val="003831EC"/>
    <w:rsid w:val="005D07B4"/>
    <w:rsid w:val="0065060B"/>
    <w:rsid w:val="00711FBA"/>
    <w:rsid w:val="00804337"/>
    <w:rsid w:val="009602E5"/>
    <w:rsid w:val="00963ECB"/>
    <w:rsid w:val="009E12AD"/>
    <w:rsid w:val="009E412C"/>
    <w:rsid w:val="00A46F4E"/>
    <w:rsid w:val="00B07C17"/>
    <w:rsid w:val="00B64C1D"/>
    <w:rsid w:val="00BD3563"/>
    <w:rsid w:val="00C16519"/>
    <w:rsid w:val="00CC0CC1"/>
    <w:rsid w:val="00CC54A4"/>
    <w:rsid w:val="00D15B15"/>
    <w:rsid w:val="00E86EE3"/>
    <w:rsid w:val="00EA3064"/>
    <w:rsid w:val="00FC7887"/>
    <w:rsid w:val="00FD4F08"/>
    <w:rsid w:val="00FE4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A61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link w:val="a5"/>
    <w:uiPriority w:val="99"/>
    <w:unhideWhenUsed/>
    <w:rsid w:val="00B240A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B240A4"/>
  </w:style>
  <w:style w:type="paragraph" w:styleId="a6">
    <w:name w:val="footer"/>
    <w:basedOn w:val="a"/>
    <w:link w:val="a7"/>
    <w:uiPriority w:val="99"/>
    <w:unhideWhenUsed/>
    <w:rsid w:val="00B240A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B240A4"/>
  </w:style>
  <w:style w:type="paragraph" w:customStyle="1" w:styleId="rvps2">
    <w:name w:val="rvps2"/>
    <w:basedOn w:val="a"/>
    <w:rsid w:val="00D7155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8">
    <w:name w:val="Balloon Text"/>
    <w:basedOn w:val="a"/>
    <w:link w:val="a9"/>
    <w:uiPriority w:val="99"/>
    <w:semiHidden/>
    <w:unhideWhenUsed/>
    <w:rsid w:val="00C5078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C50783"/>
    <w:rPr>
      <w:rFonts w:ascii="Segoe UI" w:hAnsi="Segoe UI" w:cs="Segoe UI"/>
      <w:sz w:val="18"/>
      <w:szCs w:val="18"/>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paragraph" w:styleId="ab">
    <w:name w:val="No Spacing"/>
    <w:uiPriority w:val="1"/>
    <w:qFormat/>
    <w:rsid w:val="00B07C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51254</Words>
  <Characters>29215</Characters>
  <Application>Microsoft Office Word</Application>
  <DocSecurity>0</DocSecurity>
  <Lines>243</Lines>
  <Paragraphs>160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2021-06-04T06:39:00Z</dcterms:created>
  <dcterms:modified xsi:type="dcterms:W3CDTF">2021-06-04T10:16:00Z</dcterms:modified>
</cp:coreProperties>
</file>