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5DE" w:rsidRDefault="00E445DE" w:rsidP="00E445DE">
      <w:pPr>
        <w:spacing w:after="0" w:line="240" w:lineRule="auto"/>
        <w:ind w:right="85"/>
        <w:jc w:val="right"/>
        <w:rPr>
          <w:rFonts w:ascii="Times New Roman" w:hAnsi="Times New Roman"/>
          <w:sz w:val="24"/>
          <w:szCs w:val="24"/>
        </w:rPr>
      </w:pPr>
      <w:r>
        <w:rPr>
          <w:rFonts w:ascii="Times New Roman" w:hAnsi="Times New Roman"/>
          <w:sz w:val="24"/>
          <w:szCs w:val="24"/>
        </w:rPr>
        <w:t xml:space="preserve">До реєстр. № 3508-д </w:t>
      </w:r>
    </w:p>
    <w:p w:rsidR="00E445DE" w:rsidRDefault="00E445DE" w:rsidP="00E445DE">
      <w:pPr>
        <w:spacing w:after="0" w:line="240" w:lineRule="auto"/>
        <w:ind w:right="85"/>
        <w:jc w:val="right"/>
        <w:rPr>
          <w:rFonts w:ascii="Times New Roman" w:hAnsi="Times New Roman"/>
          <w:sz w:val="24"/>
          <w:szCs w:val="24"/>
        </w:rPr>
      </w:pPr>
      <w:r>
        <w:rPr>
          <w:rFonts w:ascii="Times New Roman" w:hAnsi="Times New Roman"/>
          <w:sz w:val="24"/>
          <w:szCs w:val="24"/>
        </w:rPr>
        <w:t>(друге читання)</w:t>
      </w:r>
    </w:p>
    <w:p w:rsidR="00E445DE" w:rsidRDefault="00E445DE" w:rsidP="00E445DE">
      <w:pPr>
        <w:spacing w:after="0" w:line="240" w:lineRule="auto"/>
        <w:ind w:right="85"/>
        <w:jc w:val="right"/>
        <w:rPr>
          <w:rFonts w:ascii="Times New Roman" w:hAnsi="Times New Roman"/>
          <w:sz w:val="24"/>
          <w:szCs w:val="24"/>
        </w:rPr>
      </w:pPr>
    </w:p>
    <w:p w:rsidR="00E445DE" w:rsidRPr="009A1543" w:rsidRDefault="00E445DE" w:rsidP="00E445DE">
      <w:pPr>
        <w:tabs>
          <w:tab w:val="left" w:pos="993"/>
        </w:tabs>
        <w:spacing w:after="120" w:line="264" w:lineRule="auto"/>
        <w:jc w:val="center"/>
        <w:rPr>
          <w:rFonts w:ascii="Times New Roman" w:hAnsi="Times New Roman"/>
          <w:b/>
          <w:sz w:val="28"/>
          <w:szCs w:val="28"/>
        </w:rPr>
      </w:pPr>
      <w:r w:rsidRPr="009A1543">
        <w:rPr>
          <w:rFonts w:ascii="Times New Roman" w:hAnsi="Times New Roman"/>
          <w:b/>
          <w:sz w:val="28"/>
          <w:szCs w:val="28"/>
        </w:rPr>
        <w:t>ЗАУВАЖЕННЯ</w:t>
      </w:r>
    </w:p>
    <w:p w:rsidR="00E445DE" w:rsidRPr="009A1543" w:rsidRDefault="00E445DE" w:rsidP="00E445DE">
      <w:pPr>
        <w:widowControl w:val="0"/>
        <w:spacing w:after="0" w:line="288" w:lineRule="auto"/>
        <w:jc w:val="center"/>
        <w:rPr>
          <w:rFonts w:ascii="Times New Roman" w:hAnsi="Times New Roman"/>
          <w:sz w:val="28"/>
          <w:szCs w:val="28"/>
        </w:rPr>
      </w:pPr>
      <w:r w:rsidRPr="009A1543">
        <w:rPr>
          <w:rFonts w:ascii="Times New Roman" w:hAnsi="Times New Roman"/>
          <w:sz w:val="28"/>
          <w:szCs w:val="28"/>
        </w:rPr>
        <w:t>до проекту Закону України</w:t>
      </w:r>
    </w:p>
    <w:p w:rsidR="00E445DE" w:rsidRPr="009A1543" w:rsidRDefault="00E445DE" w:rsidP="00E445DE">
      <w:pPr>
        <w:spacing w:after="0" w:line="288" w:lineRule="auto"/>
        <w:jc w:val="center"/>
        <w:rPr>
          <w:rStyle w:val="31"/>
          <w:b w:val="0"/>
          <w:sz w:val="28"/>
          <w:szCs w:val="28"/>
        </w:rPr>
      </w:pPr>
      <w:r w:rsidRPr="009A1543">
        <w:rPr>
          <w:rStyle w:val="31"/>
          <w:rFonts w:ascii="Times New Roman" w:hAnsi="Times New Roman"/>
          <w:b w:val="0"/>
          <w:sz w:val="28"/>
          <w:szCs w:val="28"/>
        </w:rPr>
        <w:t xml:space="preserve">про </w:t>
      </w:r>
      <w:r w:rsidRPr="009A1543">
        <w:rPr>
          <w:rFonts w:ascii="Times New Roman" w:hAnsi="Times New Roman"/>
          <w:sz w:val="28"/>
          <w:szCs w:val="28"/>
        </w:rPr>
        <w:t>заходи, спрямовані на подолання кризових явищ та забезпечення фінансової стабільності на ринку природного газу</w:t>
      </w:r>
    </w:p>
    <w:p w:rsidR="00E445DE" w:rsidRPr="009A1543" w:rsidRDefault="00E445DE" w:rsidP="00E445DE">
      <w:pPr>
        <w:spacing w:line="288" w:lineRule="auto"/>
        <w:jc w:val="center"/>
        <w:rPr>
          <w:sz w:val="28"/>
          <w:szCs w:val="28"/>
        </w:rPr>
      </w:pPr>
      <w:r w:rsidRPr="009A1543">
        <w:rPr>
          <w:rFonts w:ascii="Times New Roman" w:hAnsi="Times New Roman"/>
          <w:sz w:val="28"/>
          <w:szCs w:val="28"/>
        </w:rPr>
        <w:t xml:space="preserve">(реєстраційний № </w:t>
      </w:r>
      <w:r>
        <w:rPr>
          <w:rFonts w:ascii="Times New Roman" w:hAnsi="Times New Roman"/>
          <w:sz w:val="28"/>
          <w:szCs w:val="28"/>
        </w:rPr>
        <w:t>3508-д</w:t>
      </w:r>
      <w:r w:rsidRPr="009A1543">
        <w:rPr>
          <w:rFonts w:ascii="Times New Roman" w:hAnsi="Times New Roman"/>
          <w:sz w:val="28"/>
          <w:szCs w:val="28"/>
        </w:rPr>
        <w:t>)</w:t>
      </w:r>
    </w:p>
    <w:p w:rsidR="00E445DE" w:rsidRPr="009A1543" w:rsidRDefault="00E445DE" w:rsidP="008777B7">
      <w:pPr>
        <w:spacing w:after="120" w:line="288" w:lineRule="auto"/>
        <w:ind w:firstLine="709"/>
        <w:jc w:val="both"/>
        <w:rPr>
          <w:rFonts w:ascii="Times New Roman" w:hAnsi="Times New Roman"/>
          <w:sz w:val="28"/>
          <w:szCs w:val="28"/>
          <w:lang w:val="ru-RU"/>
        </w:rPr>
      </w:pPr>
      <w:r w:rsidRPr="009A1543">
        <w:rPr>
          <w:rFonts w:ascii="Times New Roman" w:hAnsi="Times New Roman"/>
          <w:sz w:val="28"/>
          <w:szCs w:val="28"/>
        </w:rPr>
        <w:t>У Головному юридичному управлінні в надзвичайно стислий термін, що унеможливлює належне опрацювання</w:t>
      </w:r>
      <w:r w:rsidR="00555BA1">
        <w:rPr>
          <w:rFonts w:ascii="Times New Roman" w:hAnsi="Times New Roman"/>
          <w:sz w:val="28"/>
          <w:szCs w:val="28"/>
        </w:rPr>
        <w:t xml:space="preserve"> </w:t>
      </w:r>
      <w:r w:rsidR="00555BA1">
        <w:rPr>
          <w:rFonts w:ascii="Times New Roman" w:hAnsi="Times New Roman"/>
          <w:sz w:val="28"/>
          <w:szCs w:val="28"/>
        </w:rPr>
        <w:t>(порівняльну таблицю одержано 1</w:t>
      </w:r>
      <w:r w:rsidR="00555BA1">
        <w:rPr>
          <w:rFonts w:ascii="Times New Roman" w:hAnsi="Times New Roman"/>
          <w:sz w:val="28"/>
          <w:szCs w:val="28"/>
        </w:rPr>
        <w:t>4</w:t>
      </w:r>
      <w:r w:rsidR="00555BA1">
        <w:rPr>
          <w:rFonts w:ascii="Times New Roman" w:hAnsi="Times New Roman"/>
          <w:sz w:val="28"/>
          <w:szCs w:val="28"/>
        </w:rPr>
        <w:t>.07.2021 року о 1</w:t>
      </w:r>
      <w:r w:rsidR="00555BA1">
        <w:rPr>
          <w:rFonts w:ascii="Times New Roman" w:hAnsi="Times New Roman"/>
          <w:sz w:val="28"/>
          <w:szCs w:val="28"/>
        </w:rPr>
        <w:t>2:</w:t>
      </w:r>
      <w:bookmarkStart w:id="0" w:name="_GoBack"/>
      <w:bookmarkEnd w:id="0"/>
      <w:r w:rsidR="00555BA1">
        <w:rPr>
          <w:rFonts w:ascii="Times New Roman" w:hAnsi="Times New Roman"/>
          <w:sz w:val="28"/>
          <w:szCs w:val="28"/>
        </w:rPr>
        <w:t>4</w:t>
      </w:r>
      <w:r w:rsidR="00555BA1">
        <w:rPr>
          <w:rFonts w:ascii="Times New Roman" w:hAnsi="Times New Roman"/>
          <w:sz w:val="28"/>
          <w:szCs w:val="28"/>
        </w:rPr>
        <w:t>0)</w:t>
      </w:r>
      <w:r w:rsidRPr="009A1543">
        <w:rPr>
          <w:rFonts w:ascii="Times New Roman" w:hAnsi="Times New Roman"/>
          <w:sz w:val="28"/>
          <w:szCs w:val="28"/>
        </w:rPr>
        <w:t>, розглянуто підготовлений до другого читання про</w:t>
      </w:r>
      <w:r>
        <w:rPr>
          <w:rFonts w:ascii="Times New Roman" w:hAnsi="Times New Roman"/>
          <w:sz w:val="28"/>
          <w:szCs w:val="28"/>
        </w:rPr>
        <w:t xml:space="preserve"> </w:t>
      </w:r>
      <w:r w:rsidRPr="009A1543">
        <w:rPr>
          <w:rFonts w:ascii="Times New Roman" w:hAnsi="Times New Roman"/>
          <w:sz w:val="28"/>
          <w:szCs w:val="28"/>
        </w:rPr>
        <w:t>заходи, спрямовані на подолання кризових явищ та забезпечення фінансової стабільності на ринку природного газу</w:t>
      </w:r>
      <w:r>
        <w:rPr>
          <w:rFonts w:ascii="Times New Roman" w:hAnsi="Times New Roman"/>
          <w:sz w:val="28"/>
          <w:szCs w:val="28"/>
        </w:rPr>
        <w:t xml:space="preserve"> (далі – законопроект).</w:t>
      </w:r>
    </w:p>
    <w:p w:rsidR="00E445DE" w:rsidRPr="003F0F80" w:rsidRDefault="00E445DE" w:rsidP="008777B7">
      <w:pPr>
        <w:spacing w:after="100" w:line="288" w:lineRule="auto"/>
        <w:ind w:firstLine="709"/>
        <w:jc w:val="both"/>
        <w:rPr>
          <w:rFonts w:ascii="Times New Roman" w:hAnsi="Times New Roman"/>
          <w:color w:val="000000"/>
          <w:sz w:val="28"/>
          <w:szCs w:val="28"/>
        </w:rPr>
      </w:pPr>
      <w:r w:rsidRPr="003F0F80">
        <w:rPr>
          <w:rFonts w:ascii="Times New Roman" w:hAnsi="Times New Roman"/>
          <w:sz w:val="28"/>
          <w:szCs w:val="28"/>
        </w:rPr>
        <w:t>За наслідками проведеної юридичної експертизи зазначаємо, що о</w:t>
      </w:r>
      <w:r w:rsidRPr="003F0F80">
        <w:rPr>
          <w:rFonts w:ascii="Times New Roman" w:hAnsi="Times New Roman"/>
          <w:color w:val="000000"/>
          <w:sz w:val="28"/>
          <w:szCs w:val="28"/>
        </w:rPr>
        <w:t xml:space="preserve">кремі положення </w:t>
      </w:r>
      <w:r>
        <w:rPr>
          <w:rFonts w:ascii="Times New Roman" w:hAnsi="Times New Roman"/>
          <w:color w:val="000000"/>
          <w:sz w:val="28"/>
          <w:szCs w:val="28"/>
        </w:rPr>
        <w:t xml:space="preserve">цього законопроекту </w:t>
      </w:r>
      <w:r w:rsidRPr="003F0F80">
        <w:rPr>
          <w:rFonts w:ascii="Times New Roman" w:hAnsi="Times New Roman"/>
          <w:color w:val="000000"/>
          <w:sz w:val="28"/>
          <w:szCs w:val="28"/>
        </w:rPr>
        <w:t xml:space="preserve">не узгоджуються з нормами Конституції </w:t>
      </w:r>
      <w:r>
        <w:rPr>
          <w:rFonts w:ascii="Times New Roman" w:hAnsi="Times New Roman"/>
          <w:color w:val="000000"/>
          <w:sz w:val="28"/>
          <w:szCs w:val="28"/>
        </w:rPr>
        <w:t xml:space="preserve">та законів </w:t>
      </w:r>
      <w:r w:rsidRPr="003F0F80">
        <w:rPr>
          <w:rFonts w:ascii="Times New Roman" w:hAnsi="Times New Roman"/>
          <w:color w:val="000000"/>
          <w:sz w:val="28"/>
          <w:szCs w:val="28"/>
        </w:rPr>
        <w:t xml:space="preserve">України, </w:t>
      </w:r>
      <w:r>
        <w:rPr>
          <w:rFonts w:ascii="Times New Roman" w:hAnsi="Times New Roman"/>
          <w:color w:val="000000"/>
          <w:sz w:val="28"/>
          <w:szCs w:val="28"/>
        </w:rPr>
        <w:t>а також</w:t>
      </w:r>
      <w:r w:rsidRPr="003F0F80">
        <w:rPr>
          <w:rFonts w:ascii="Times New Roman" w:hAnsi="Times New Roman"/>
          <w:color w:val="000000"/>
          <w:sz w:val="28"/>
          <w:szCs w:val="28"/>
        </w:rPr>
        <w:t xml:space="preserve"> правовими позиціями Конституційного Суду України, викладеними у відповідних рішеннях.</w:t>
      </w:r>
    </w:p>
    <w:p w:rsidR="00E445DE" w:rsidRPr="000B0E20" w:rsidRDefault="00E445DE" w:rsidP="008777B7">
      <w:pPr>
        <w:spacing w:after="120" w:line="288" w:lineRule="auto"/>
        <w:ind w:firstLine="709"/>
        <w:jc w:val="both"/>
        <w:rPr>
          <w:rFonts w:ascii="Times New Roman" w:hAnsi="Times New Roman"/>
          <w:sz w:val="28"/>
          <w:szCs w:val="28"/>
          <w:shd w:val="clear" w:color="auto" w:fill="FFFFFF"/>
        </w:rPr>
      </w:pPr>
      <w:r w:rsidRPr="000B0E20">
        <w:rPr>
          <w:rFonts w:ascii="Times New Roman" w:hAnsi="Times New Roman"/>
          <w:sz w:val="28"/>
          <w:szCs w:val="28"/>
          <w:shd w:val="clear" w:color="auto" w:fill="FFFFFF"/>
        </w:rPr>
        <w:t xml:space="preserve">1. Основна ідея законопроекту полягає у врегулюванні державою (погашенні за рахунок коштів державного бюджету та примусовій реструктуризації на умовах, визначених цим Законом) заборгованості між учасниками ринку природного газу, що виникла за результатами їх господарської діяльності відповідно до укладених договорів. </w:t>
      </w:r>
    </w:p>
    <w:p w:rsidR="00E445DE" w:rsidRPr="000B0E20" w:rsidRDefault="00E445DE" w:rsidP="008777B7">
      <w:pPr>
        <w:spacing w:after="120" w:line="288" w:lineRule="auto"/>
        <w:ind w:firstLine="709"/>
        <w:jc w:val="both"/>
        <w:rPr>
          <w:rFonts w:ascii="Times New Roman" w:hAnsi="Times New Roman"/>
          <w:sz w:val="28"/>
          <w:szCs w:val="28"/>
          <w:shd w:val="clear" w:color="auto" w:fill="FFFFFF"/>
        </w:rPr>
      </w:pPr>
      <w:r w:rsidRPr="000B0E20">
        <w:rPr>
          <w:rFonts w:ascii="Times New Roman" w:hAnsi="Times New Roman"/>
          <w:sz w:val="28"/>
          <w:szCs w:val="28"/>
        </w:rPr>
        <w:t xml:space="preserve">Зазначений підхід суперечить вимогам статей 13 та 42 Конституції України, згідно з якими </w:t>
      </w:r>
      <w:r w:rsidRPr="000B0E20">
        <w:rPr>
          <w:rFonts w:ascii="Times New Roman" w:hAnsi="Times New Roman"/>
          <w:sz w:val="28"/>
          <w:szCs w:val="28"/>
          <w:lang w:eastAsia="uk-UA"/>
        </w:rPr>
        <w:t>держава забезпечує захист прав усіх суб’єктів права власності і господарювання, соціальну спрямованість економіки, а усі суб’єкти права власності рівні перед законом.</w:t>
      </w:r>
      <w:r w:rsidRPr="000B0E20">
        <w:rPr>
          <w:rFonts w:ascii="Times New Roman" w:hAnsi="Times New Roman"/>
          <w:sz w:val="28"/>
          <w:szCs w:val="28"/>
          <w:shd w:val="clear" w:color="auto" w:fill="FFFFFF"/>
        </w:rPr>
        <w:t xml:space="preserve"> Відповідно до пункту 8 частини першої статті 92 Конституції України завданням держави та, зокрема, Парламенту, є визначення законами України загальних правових засад і гарантій </w:t>
      </w:r>
      <w:bookmarkStart w:id="1" w:name="w1_10"/>
      <w:r w:rsidRPr="000B0E20">
        <w:rPr>
          <w:rFonts w:ascii="Times New Roman" w:hAnsi="Times New Roman"/>
          <w:sz w:val="28"/>
          <w:szCs w:val="28"/>
          <w:shd w:val="clear" w:color="auto" w:fill="FFFFFF"/>
        </w:rPr>
        <w:fldChar w:fldCharType="begin"/>
      </w:r>
      <w:r w:rsidRPr="000B0E20">
        <w:rPr>
          <w:rFonts w:ascii="Times New Roman" w:hAnsi="Times New Roman"/>
          <w:sz w:val="28"/>
          <w:szCs w:val="28"/>
          <w:shd w:val="clear" w:color="auto" w:fill="FFFFFF"/>
        </w:rPr>
        <w:instrText xml:space="preserve"> HYPERLINK "https://zakon.rada.gov.ua/laws/show/254%D0%BA/96-%D0%B2%D1%80?find=1&amp;text=%D0%BF%D1%96%D0%B4%D0%BF%D1%80%D0%B8%D1%94%D0%BC" \l "w1_11" </w:instrText>
      </w:r>
      <w:r w:rsidRPr="000B0E20">
        <w:rPr>
          <w:rFonts w:ascii="Times New Roman" w:hAnsi="Times New Roman"/>
          <w:sz w:val="28"/>
          <w:szCs w:val="28"/>
          <w:shd w:val="clear" w:color="auto" w:fill="FFFFFF"/>
        </w:rPr>
        <w:fldChar w:fldCharType="separate"/>
      </w:r>
      <w:r w:rsidRPr="000B0E20">
        <w:rPr>
          <w:rFonts w:ascii="Times New Roman" w:hAnsi="Times New Roman"/>
          <w:sz w:val="28"/>
          <w:szCs w:val="28"/>
          <w:shd w:val="clear" w:color="auto" w:fill="FFFFFF"/>
        </w:rPr>
        <w:t>підприєм</w:t>
      </w:r>
      <w:r w:rsidRPr="000B0E20">
        <w:rPr>
          <w:rFonts w:ascii="Times New Roman" w:hAnsi="Times New Roman"/>
          <w:sz w:val="28"/>
          <w:szCs w:val="28"/>
          <w:shd w:val="clear" w:color="auto" w:fill="FFFFFF"/>
        </w:rPr>
        <w:fldChar w:fldCharType="end"/>
      </w:r>
      <w:bookmarkEnd w:id="1"/>
      <w:r w:rsidRPr="000B0E20">
        <w:rPr>
          <w:rFonts w:ascii="Times New Roman" w:hAnsi="Times New Roman"/>
          <w:sz w:val="28"/>
          <w:szCs w:val="28"/>
          <w:shd w:val="clear" w:color="auto" w:fill="FFFFFF"/>
        </w:rPr>
        <w:t>ництва, але не втручання у виконання договорів або покриття збитків від неефективного господарювання.</w:t>
      </w:r>
    </w:p>
    <w:p w:rsidR="00E445DE" w:rsidRPr="000B0E20" w:rsidRDefault="00E445DE" w:rsidP="008777B7">
      <w:pPr>
        <w:shd w:val="clear" w:color="auto" w:fill="FFFFFF"/>
        <w:spacing w:after="120" w:line="288" w:lineRule="auto"/>
        <w:ind w:firstLine="709"/>
        <w:jc w:val="both"/>
        <w:rPr>
          <w:rFonts w:ascii="Times New Roman" w:hAnsi="Times New Roman"/>
          <w:sz w:val="28"/>
          <w:szCs w:val="28"/>
        </w:rPr>
      </w:pPr>
      <w:r w:rsidRPr="000B0E20">
        <w:rPr>
          <w:rFonts w:ascii="Times New Roman" w:hAnsi="Times New Roman"/>
          <w:sz w:val="28"/>
          <w:szCs w:val="28"/>
          <w:lang w:eastAsia="uk-UA"/>
        </w:rPr>
        <w:lastRenderedPageBreak/>
        <w:t>Слід зазначити, що відносини між підприємствами, що беруть участь у процедурі врегулювання заборгованості, регулюються господарськими договорами, укладеними відповідно до Господарського, Цивільного кодексів України, тому відповідно до статті 526 Цивільного кодексу України з</w:t>
      </w:r>
      <w:r w:rsidRPr="000B0E20">
        <w:rPr>
          <w:rFonts w:ascii="Times New Roman" w:hAnsi="Times New Roman"/>
          <w:sz w:val="28"/>
          <w:szCs w:val="28"/>
        </w:rPr>
        <w:t xml:space="preserve">обов’язання мають виконуватися належним чином відповідно до умов договору та вимог відповідних кодексів. </w:t>
      </w:r>
    </w:p>
    <w:p w:rsidR="00E445DE" w:rsidRPr="000B0E20" w:rsidRDefault="00E445DE" w:rsidP="008777B7">
      <w:pPr>
        <w:shd w:val="clear" w:color="auto" w:fill="FFFFFF"/>
        <w:spacing w:after="120" w:line="288" w:lineRule="auto"/>
        <w:ind w:firstLine="709"/>
        <w:jc w:val="both"/>
        <w:rPr>
          <w:rFonts w:ascii="Times New Roman" w:hAnsi="Times New Roman"/>
          <w:sz w:val="28"/>
          <w:szCs w:val="28"/>
          <w:shd w:val="clear" w:color="auto" w:fill="FFFFFF"/>
        </w:rPr>
      </w:pPr>
      <w:r w:rsidRPr="000B0E20">
        <w:rPr>
          <w:rFonts w:ascii="Times New Roman" w:hAnsi="Times New Roman"/>
          <w:sz w:val="28"/>
          <w:szCs w:val="28"/>
          <w:shd w:val="clear" w:color="auto" w:fill="FFFFFF"/>
        </w:rPr>
        <w:t>Законопроектом порушуються закріплені у частині першій статті 6 Господарського кодексу України принципи господарювання, а саме свободи підприємницької діяльності у межах, визначених законом; обмеження державного регулювання економічних процесів у зв'язку з необхідністю забезпечення соціальної спрямованості економіки, добросовісної конкуренції у підприємництві, екологічного захисту населення, захисту прав споживачів та безпеки суспільства і держави; заборони незаконного втручання органів державної влади та органів місцевого самоврядування, їх посадових осіб у господарські відносини. Згідно з статтею 42 Господарського кодексу України підприємництво - це </w:t>
      </w:r>
      <w:bookmarkStart w:id="2" w:name="w1_5"/>
      <w:r w:rsidRPr="000B0E20">
        <w:rPr>
          <w:rFonts w:ascii="Times New Roman" w:hAnsi="Times New Roman"/>
          <w:sz w:val="28"/>
          <w:szCs w:val="28"/>
          <w:shd w:val="clear" w:color="auto" w:fill="FFFFFF"/>
        </w:rPr>
        <w:fldChar w:fldCharType="begin"/>
      </w:r>
      <w:r w:rsidRPr="000B0E20">
        <w:rPr>
          <w:rFonts w:ascii="Times New Roman" w:hAnsi="Times New Roman"/>
          <w:sz w:val="28"/>
          <w:szCs w:val="28"/>
          <w:shd w:val="clear" w:color="auto" w:fill="FFFFFF"/>
        </w:rPr>
        <w:instrText xml:space="preserve"> HYPERLINK "https://zakon.rada.gov.ua/laws/show/436-15?find=1&amp;text=%D1%81%D0%B0%D0%BC%D0%BE%D1%81%D1%82%D1%96%D0%B9%D0%BD" \l "w1_6" </w:instrText>
      </w:r>
      <w:r w:rsidRPr="000B0E20">
        <w:rPr>
          <w:rFonts w:ascii="Times New Roman" w:hAnsi="Times New Roman"/>
          <w:sz w:val="28"/>
          <w:szCs w:val="28"/>
          <w:shd w:val="clear" w:color="auto" w:fill="FFFFFF"/>
        </w:rPr>
        <w:fldChar w:fldCharType="separate"/>
      </w:r>
      <w:r w:rsidRPr="000B0E20">
        <w:rPr>
          <w:rFonts w:ascii="Times New Roman" w:hAnsi="Times New Roman"/>
          <w:sz w:val="28"/>
          <w:szCs w:val="28"/>
          <w:shd w:val="clear" w:color="auto" w:fill="FFFFFF"/>
        </w:rPr>
        <w:t>самостійн</w:t>
      </w:r>
      <w:r w:rsidRPr="000B0E20">
        <w:rPr>
          <w:rFonts w:ascii="Times New Roman" w:hAnsi="Times New Roman"/>
          <w:sz w:val="28"/>
          <w:szCs w:val="28"/>
          <w:shd w:val="clear" w:color="auto" w:fill="FFFFFF"/>
        </w:rPr>
        <w:fldChar w:fldCharType="end"/>
      </w:r>
      <w:bookmarkEnd w:id="2"/>
      <w:r w:rsidRPr="000B0E20">
        <w:rPr>
          <w:rFonts w:ascii="Times New Roman" w:hAnsi="Times New Roman"/>
          <w:sz w:val="28"/>
          <w:szCs w:val="28"/>
          <w:shd w:val="clear" w:color="auto" w:fill="FFFFFF"/>
        </w:rPr>
        <w:t>а, ініціативна, систематична, на власний ризик господарська діяльність, що здійснюється суб'єктами господарювання (підприємцями) з метою досягнення економічних і соціальних результатів та одержання прибутку.</w:t>
      </w:r>
    </w:p>
    <w:p w:rsidR="00E445DE" w:rsidRPr="000B0E20" w:rsidRDefault="00E445DE" w:rsidP="008777B7">
      <w:pPr>
        <w:pStyle w:val="StyleZakonu"/>
        <w:spacing w:after="120" w:line="288" w:lineRule="auto"/>
        <w:ind w:firstLine="709"/>
        <w:rPr>
          <w:sz w:val="28"/>
          <w:szCs w:val="28"/>
          <w:lang w:eastAsia="uk-UA"/>
        </w:rPr>
      </w:pPr>
      <w:r w:rsidRPr="000B0E20">
        <w:rPr>
          <w:rFonts w:eastAsiaTheme="minorHAnsi"/>
          <w:sz w:val="28"/>
          <w:szCs w:val="28"/>
          <w:lang w:eastAsia="en-US"/>
        </w:rPr>
        <w:t xml:space="preserve">По суті, у разі прийняття такого закону Верховна Рада України продовжить хибну практику втручання в господарську діяльність учасників ринку природного газу, </w:t>
      </w:r>
      <w:r w:rsidRPr="000B0E20">
        <w:rPr>
          <w:sz w:val="28"/>
          <w:szCs w:val="28"/>
        </w:rPr>
        <w:t>теплопостачальних, теплогенеруючих організацій, підприємств централізованого водопостачання і водовідведення, чим порушить основоположний принцип свободи договору, передбачений статтями 3, 6 та 627 Цивільного кодексу України, та створення прецедентів безкарної недобросовісної поведінки щодо несвоєчасної або не в повному обсязі оплати за одержані товари і послуги.</w:t>
      </w:r>
    </w:p>
    <w:p w:rsidR="00E445DE" w:rsidRPr="000B0E20" w:rsidRDefault="00E445DE" w:rsidP="008777B7">
      <w:pPr>
        <w:spacing w:after="120" w:line="288" w:lineRule="auto"/>
        <w:ind w:firstLine="709"/>
        <w:jc w:val="both"/>
        <w:rPr>
          <w:rFonts w:ascii="Times New Roman" w:hAnsi="Times New Roman"/>
          <w:sz w:val="28"/>
          <w:szCs w:val="28"/>
          <w:shd w:val="clear" w:color="auto" w:fill="FFFFFF"/>
        </w:rPr>
      </w:pPr>
      <w:r w:rsidRPr="000B0E20">
        <w:rPr>
          <w:rFonts w:ascii="Times New Roman" w:hAnsi="Times New Roman"/>
          <w:sz w:val="28"/>
          <w:szCs w:val="28"/>
          <w:shd w:val="clear" w:color="auto" w:fill="FFFFFF"/>
        </w:rPr>
        <w:t>2. Принцип правової визначеності, який є невід’ємною складовою правової держави, проголошеної статтею 8 Конституції України, вимагає, в першу чергу, чіткого та ясного викладення правових приписів. Положення законопроекту містять суттєві вади з точки зору дотримання цього принципу, які унеможливлюють однозначне розуміння впроваджуваних правових норм, в тому числі стосовно обсягів та характеру заборгованості, що підлягає врегулюванню, що створює корупційні ризики та ризики нецільового використання коштів державного бюджету. Так, зокрема:</w:t>
      </w:r>
    </w:p>
    <w:p w:rsidR="00E445DE" w:rsidRPr="000B0E20" w:rsidRDefault="00E445DE" w:rsidP="008777B7">
      <w:pPr>
        <w:spacing w:after="120" w:line="288" w:lineRule="auto"/>
        <w:ind w:firstLine="709"/>
        <w:jc w:val="both"/>
        <w:rPr>
          <w:rFonts w:ascii="Times New Roman" w:hAnsi="Times New Roman"/>
          <w:sz w:val="28"/>
          <w:szCs w:val="28"/>
          <w:shd w:val="clear" w:color="auto" w:fill="FFFFFF"/>
        </w:rPr>
      </w:pPr>
      <w:r w:rsidRPr="000B0E20">
        <w:rPr>
          <w:rFonts w:ascii="Times New Roman" w:hAnsi="Times New Roman"/>
          <w:sz w:val="28"/>
          <w:szCs w:val="28"/>
          <w:shd w:val="clear" w:color="auto" w:fill="FFFFFF"/>
        </w:rPr>
        <w:lastRenderedPageBreak/>
        <w:t>1) потребують узгодження між собою положення статті 1 та статті 4 законопроекту стосовно ознак заборгованості, яка підлягає врегулюванню;</w:t>
      </w:r>
    </w:p>
    <w:p w:rsidR="00E445DE" w:rsidRPr="000B0E20" w:rsidRDefault="00E445DE" w:rsidP="008777B7">
      <w:pPr>
        <w:spacing w:after="120" w:line="288" w:lineRule="auto"/>
        <w:ind w:firstLine="709"/>
        <w:jc w:val="both"/>
        <w:rPr>
          <w:rFonts w:ascii="Times New Roman" w:hAnsi="Times New Roman"/>
          <w:sz w:val="28"/>
          <w:szCs w:val="28"/>
          <w:shd w:val="clear" w:color="auto" w:fill="FFFFFF"/>
        </w:rPr>
      </w:pPr>
      <w:r w:rsidRPr="000B0E20">
        <w:rPr>
          <w:rFonts w:ascii="Times New Roman" w:hAnsi="Times New Roman"/>
          <w:sz w:val="28"/>
          <w:szCs w:val="28"/>
          <w:shd w:val="clear" w:color="auto" w:fill="FFFFFF"/>
        </w:rPr>
        <w:t xml:space="preserve">2) у статтях 3, 4 та 6 законопроекту слід уточнити, на підставі даних якого саме </w:t>
      </w:r>
      <w:r w:rsidRPr="000B0E20">
        <w:rPr>
          <w:rFonts w:ascii="Times New Roman" w:hAnsi="Times New Roman"/>
          <w:sz w:val="28"/>
          <w:szCs w:val="28"/>
        </w:rPr>
        <w:t>"</w:t>
      </w:r>
      <w:r w:rsidRPr="000B0E20">
        <w:rPr>
          <w:rFonts w:ascii="Times New Roman" w:hAnsi="Times New Roman"/>
          <w:sz w:val="28"/>
          <w:szCs w:val="28"/>
          <w:shd w:val="clear" w:color="auto" w:fill="FFFFFF"/>
        </w:rPr>
        <w:t>обліку</w:t>
      </w:r>
      <w:r w:rsidRPr="000B0E20">
        <w:rPr>
          <w:rFonts w:ascii="Times New Roman" w:hAnsi="Times New Roman"/>
          <w:sz w:val="28"/>
          <w:szCs w:val="28"/>
        </w:rPr>
        <w:t>"</w:t>
      </w:r>
      <w:r w:rsidRPr="000B0E20">
        <w:rPr>
          <w:rFonts w:ascii="Times New Roman" w:hAnsi="Times New Roman"/>
          <w:sz w:val="28"/>
          <w:szCs w:val="28"/>
          <w:shd w:val="clear" w:color="auto" w:fill="FFFFFF"/>
        </w:rPr>
        <w:t xml:space="preserve"> постачальників природного газу, суб'єктів ринку природного газу, учасників розрахунків, учасників процедури погашення заборгованості мають визначатися відповідні грошові суми;</w:t>
      </w:r>
    </w:p>
    <w:p w:rsidR="00E445DE" w:rsidRPr="000B0E20" w:rsidRDefault="00E445DE" w:rsidP="008777B7">
      <w:pPr>
        <w:pStyle w:val="af3"/>
        <w:spacing w:after="120" w:line="288" w:lineRule="auto"/>
        <w:ind w:firstLine="709"/>
        <w:jc w:val="both"/>
        <w:rPr>
          <w:szCs w:val="28"/>
          <w:shd w:val="clear" w:color="auto" w:fill="FFFFFF"/>
          <w:lang w:val="uk-UA"/>
        </w:rPr>
      </w:pPr>
      <w:r w:rsidRPr="000B0E20">
        <w:rPr>
          <w:szCs w:val="28"/>
          <w:shd w:val="clear" w:color="auto" w:fill="FFFFFF"/>
          <w:lang w:val="uk-UA"/>
        </w:rPr>
        <w:t xml:space="preserve">3) частина друга статті 3 законопроекту містить посилання на «акти звіряння взаєморозрахунків між суб’єктами ринку природного газу», проте ані у Законі України </w:t>
      </w:r>
      <w:r w:rsidRPr="000B0E20">
        <w:rPr>
          <w:szCs w:val="28"/>
        </w:rPr>
        <w:t>"</w:t>
      </w:r>
      <w:r w:rsidRPr="000B0E20">
        <w:rPr>
          <w:szCs w:val="28"/>
          <w:shd w:val="clear" w:color="auto" w:fill="FFFFFF"/>
          <w:lang w:val="uk-UA"/>
        </w:rPr>
        <w:t>Про ринок природного газу</w:t>
      </w:r>
      <w:r w:rsidRPr="000B0E20">
        <w:rPr>
          <w:szCs w:val="28"/>
        </w:rPr>
        <w:t>",</w:t>
      </w:r>
      <w:r w:rsidRPr="000B0E20">
        <w:rPr>
          <w:szCs w:val="28"/>
          <w:shd w:val="clear" w:color="auto" w:fill="FFFFFF"/>
          <w:lang w:val="uk-UA"/>
        </w:rPr>
        <w:t xml:space="preserve"> ані </w:t>
      </w:r>
      <w:r w:rsidRPr="000B0E20">
        <w:rPr>
          <w:szCs w:val="28"/>
          <w:shd w:val="clear" w:color="auto" w:fill="FFFFFF"/>
        </w:rPr>
        <w:t>в</w:t>
      </w:r>
      <w:r w:rsidRPr="000B0E20">
        <w:rPr>
          <w:szCs w:val="28"/>
          <w:shd w:val="clear" w:color="auto" w:fill="FFFFFF"/>
          <w:lang w:val="uk-UA"/>
        </w:rPr>
        <w:t xml:space="preserve"> законопроекті не йдеться про обов’язок проводити таке </w:t>
      </w:r>
      <w:r w:rsidRPr="000B0E20">
        <w:rPr>
          <w:szCs w:val="28"/>
        </w:rPr>
        <w:t>"</w:t>
      </w:r>
      <w:r w:rsidRPr="000B0E20">
        <w:rPr>
          <w:szCs w:val="28"/>
          <w:shd w:val="clear" w:color="auto" w:fill="FFFFFF"/>
          <w:lang w:val="uk-UA"/>
        </w:rPr>
        <w:t>звіряння</w:t>
      </w:r>
      <w:r w:rsidRPr="000B0E20">
        <w:rPr>
          <w:szCs w:val="28"/>
        </w:rPr>
        <w:t>"</w:t>
      </w:r>
      <w:r w:rsidRPr="000B0E20">
        <w:rPr>
          <w:szCs w:val="28"/>
          <w:shd w:val="clear" w:color="auto" w:fill="FFFFFF"/>
          <w:lang w:val="uk-UA"/>
        </w:rPr>
        <w:t>;</w:t>
      </w:r>
    </w:p>
    <w:p w:rsidR="00E445DE" w:rsidRPr="000B0E20" w:rsidRDefault="00E445DE" w:rsidP="008777B7">
      <w:pPr>
        <w:pStyle w:val="af3"/>
        <w:spacing w:after="120" w:line="288" w:lineRule="auto"/>
        <w:ind w:firstLine="709"/>
        <w:jc w:val="both"/>
        <w:rPr>
          <w:szCs w:val="28"/>
          <w:shd w:val="clear" w:color="auto" w:fill="FFFFFF"/>
          <w:lang w:val="uk-UA"/>
        </w:rPr>
      </w:pPr>
      <w:r w:rsidRPr="000B0E20">
        <w:rPr>
          <w:szCs w:val="28"/>
          <w:shd w:val="clear" w:color="auto" w:fill="FFFFFF"/>
          <w:lang w:val="uk-UA"/>
        </w:rPr>
        <w:t xml:space="preserve">4) у частині другій статті 3 законопроекту йдеться про </w:t>
      </w:r>
      <w:r w:rsidRPr="000B0E20">
        <w:rPr>
          <w:szCs w:val="28"/>
        </w:rPr>
        <w:t>"</w:t>
      </w:r>
      <w:r w:rsidRPr="000B0E20">
        <w:rPr>
          <w:szCs w:val="28"/>
          <w:shd w:val="clear" w:color="auto" w:fill="FFFFFF"/>
          <w:lang w:val="uk-UA"/>
        </w:rPr>
        <w:t>затверджений Національною комісією, що здійснює державне регулювання у сферах енергетики та комунальних послуг, обсяг різниці між фактичною обґрунтованою вартістю послуг розподілу природного газу, що надаються операторами газорозподільних систем, та тарифами на розподіл природного газу, затвердженими Національною комісією, що здійснює державне регулювання у сферах енергетики та комунальних послуг</w:t>
      </w:r>
      <w:r w:rsidRPr="000B0E20">
        <w:rPr>
          <w:szCs w:val="28"/>
        </w:rPr>
        <w:t>"</w:t>
      </w:r>
      <w:r w:rsidRPr="000B0E20">
        <w:rPr>
          <w:szCs w:val="28"/>
          <w:shd w:val="clear" w:color="auto" w:fill="FFFFFF"/>
          <w:lang w:val="uk-UA"/>
        </w:rPr>
        <w:t xml:space="preserve">. При цьому незрозуміло, яким чином та ким має визначатися </w:t>
      </w:r>
      <w:r w:rsidRPr="000B0E20">
        <w:rPr>
          <w:szCs w:val="28"/>
        </w:rPr>
        <w:t>"</w:t>
      </w:r>
      <w:r w:rsidRPr="000B0E20">
        <w:rPr>
          <w:szCs w:val="28"/>
          <w:shd w:val="clear" w:color="auto" w:fill="FFFFFF"/>
          <w:lang w:val="uk-UA"/>
        </w:rPr>
        <w:t>фактично обґрунтована вартість</w:t>
      </w:r>
      <w:r w:rsidRPr="000B0E20">
        <w:rPr>
          <w:szCs w:val="28"/>
        </w:rPr>
        <w:t>"</w:t>
      </w:r>
      <w:r w:rsidRPr="000B0E20">
        <w:rPr>
          <w:szCs w:val="28"/>
          <w:shd w:val="clear" w:color="auto" w:fill="FFFFFF"/>
          <w:lang w:val="uk-UA"/>
        </w:rPr>
        <w:t xml:space="preserve"> відповідних послуг;</w:t>
      </w:r>
    </w:p>
    <w:p w:rsidR="00E445DE" w:rsidRPr="000B0E20" w:rsidRDefault="00E445DE" w:rsidP="008777B7">
      <w:pPr>
        <w:pStyle w:val="af3"/>
        <w:spacing w:after="120" w:line="288" w:lineRule="auto"/>
        <w:ind w:firstLine="709"/>
        <w:jc w:val="both"/>
        <w:rPr>
          <w:szCs w:val="28"/>
          <w:shd w:val="clear" w:color="auto" w:fill="FFFFFF"/>
          <w:lang w:val="uk-UA"/>
        </w:rPr>
      </w:pPr>
      <w:r w:rsidRPr="000B0E20">
        <w:rPr>
          <w:szCs w:val="28"/>
          <w:shd w:val="clear" w:color="auto" w:fill="FFFFFF"/>
          <w:lang w:val="uk-UA"/>
        </w:rPr>
        <w:t xml:space="preserve">5) сам запропонований механізм проведення взаєморозрахунків між учасниками ринку природного газу є непрозорим та </w:t>
      </w:r>
      <w:r w:rsidRPr="000B0E20">
        <w:rPr>
          <w:szCs w:val="28"/>
        </w:rPr>
        <w:t>"</w:t>
      </w:r>
      <w:r w:rsidRPr="000B0E20">
        <w:rPr>
          <w:szCs w:val="28"/>
          <w:shd w:val="clear" w:color="auto" w:fill="FFFFFF"/>
          <w:lang w:val="uk-UA"/>
        </w:rPr>
        <w:t>рамковим</w:t>
      </w:r>
      <w:r w:rsidRPr="000B0E20">
        <w:rPr>
          <w:szCs w:val="28"/>
        </w:rPr>
        <w:t>"</w:t>
      </w:r>
      <w:r w:rsidRPr="000B0E20">
        <w:rPr>
          <w:szCs w:val="28"/>
          <w:shd w:val="clear" w:color="auto" w:fill="FFFFFF"/>
          <w:lang w:val="uk-UA"/>
        </w:rPr>
        <w:t xml:space="preserve">, оскільки його </w:t>
      </w:r>
      <w:r w:rsidRPr="0076774A">
        <w:rPr>
          <w:szCs w:val="28"/>
          <w:shd w:val="clear" w:color="auto" w:fill="FFFFFF"/>
          <w:lang w:val="uk-UA"/>
        </w:rPr>
        <w:t xml:space="preserve">визначення обмежується лише </w:t>
      </w:r>
      <w:proofErr w:type="spellStart"/>
      <w:r w:rsidRPr="0076774A">
        <w:rPr>
          <w:szCs w:val="28"/>
          <w:shd w:val="clear" w:color="auto" w:fill="FFFFFF"/>
          <w:lang w:val="uk-UA"/>
        </w:rPr>
        <w:t>відсилочною</w:t>
      </w:r>
      <w:proofErr w:type="spellEnd"/>
      <w:r w:rsidRPr="0076774A">
        <w:rPr>
          <w:szCs w:val="28"/>
          <w:shd w:val="clear" w:color="auto" w:fill="FFFFFF"/>
          <w:lang w:val="uk-UA"/>
        </w:rPr>
        <w:t xml:space="preserve"> нормою у статті 4 законопроекту, за якою </w:t>
      </w:r>
      <w:r w:rsidRPr="0076774A">
        <w:rPr>
          <w:szCs w:val="28"/>
          <w:lang w:val="uk-UA"/>
        </w:rPr>
        <w:t>"в</w:t>
      </w:r>
      <w:r w:rsidRPr="0076774A">
        <w:rPr>
          <w:szCs w:val="28"/>
          <w:shd w:val="clear" w:color="auto" w:fill="FFFFFF"/>
          <w:lang w:val="uk-UA"/>
        </w:rPr>
        <w:t>заєморозрахунки проводяться у порядку та на умовах, затверджених</w:t>
      </w:r>
      <w:r w:rsidRPr="000B0E20">
        <w:rPr>
          <w:szCs w:val="28"/>
          <w:shd w:val="clear" w:color="auto" w:fill="FFFFFF"/>
          <w:lang w:val="uk-UA"/>
        </w:rPr>
        <w:t xml:space="preserve"> Кабінетом Міністрів України, в межах видатків спеціального фонду державного бюджету за цільовим призначенням в обсягах, передбачених Законом України </w:t>
      </w:r>
      <w:r w:rsidRPr="000B0E20">
        <w:rPr>
          <w:szCs w:val="28"/>
        </w:rPr>
        <w:t>"</w:t>
      </w:r>
      <w:r w:rsidRPr="000B0E20">
        <w:rPr>
          <w:szCs w:val="28"/>
          <w:shd w:val="clear" w:color="auto" w:fill="FFFFFF"/>
          <w:lang w:val="uk-UA"/>
        </w:rPr>
        <w:t>Про Державний бюджет України на 2021 рік</w:t>
      </w:r>
      <w:r w:rsidRPr="000B0E20">
        <w:rPr>
          <w:szCs w:val="28"/>
        </w:rPr>
        <w:t>"</w:t>
      </w:r>
      <w:r w:rsidRPr="000B0E20">
        <w:rPr>
          <w:szCs w:val="28"/>
          <w:shd w:val="clear" w:color="auto" w:fill="FFFFFF"/>
          <w:lang w:val="uk-UA"/>
        </w:rPr>
        <w:t>.</w:t>
      </w:r>
    </w:p>
    <w:p w:rsidR="00E445DE" w:rsidRPr="000B0E20" w:rsidRDefault="00E445DE" w:rsidP="008777B7">
      <w:pPr>
        <w:pStyle w:val="af3"/>
        <w:spacing w:after="120" w:line="288" w:lineRule="auto"/>
        <w:ind w:firstLine="709"/>
        <w:jc w:val="both"/>
        <w:rPr>
          <w:szCs w:val="28"/>
          <w:shd w:val="clear" w:color="auto" w:fill="FFFFFF"/>
          <w:lang w:val="uk-UA"/>
        </w:rPr>
      </w:pPr>
      <w:r w:rsidRPr="000B0E20">
        <w:rPr>
          <w:szCs w:val="28"/>
          <w:shd w:val="clear" w:color="auto" w:fill="FFFFFF"/>
          <w:lang w:val="uk-UA"/>
        </w:rPr>
        <w:t xml:space="preserve">При цьому </w:t>
      </w:r>
      <w:r w:rsidRPr="000B0E20">
        <w:rPr>
          <w:szCs w:val="28"/>
          <w:shd w:val="clear" w:color="auto" w:fill="FFFFFF"/>
        </w:rPr>
        <w:t>в</w:t>
      </w:r>
      <w:r w:rsidRPr="000B0E20">
        <w:rPr>
          <w:szCs w:val="28"/>
          <w:shd w:val="clear" w:color="auto" w:fill="FFFFFF"/>
          <w:lang w:val="uk-UA"/>
        </w:rPr>
        <w:t xml:space="preserve"> законопроекті не передбачено граничних строків проведення відповідних розрахунків, контролю з боку держави за виконанням договору про їх організацію тощо.</w:t>
      </w:r>
    </w:p>
    <w:p w:rsidR="00E445DE" w:rsidRPr="000B0E20" w:rsidRDefault="00E445DE" w:rsidP="008777B7">
      <w:pPr>
        <w:spacing w:before="120" w:after="120" w:line="288" w:lineRule="auto"/>
        <w:ind w:firstLine="709"/>
        <w:jc w:val="both"/>
        <w:rPr>
          <w:rFonts w:ascii="Times New Roman" w:hAnsi="Times New Roman"/>
          <w:sz w:val="28"/>
          <w:szCs w:val="28"/>
        </w:rPr>
      </w:pPr>
      <w:r w:rsidRPr="000B0E20">
        <w:rPr>
          <w:rFonts w:ascii="Times New Roman" w:hAnsi="Times New Roman"/>
          <w:sz w:val="28"/>
          <w:szCs w:val="28"/>
        </w:rPr>
        <w:t xml:space="preserve">Вважаємо, що такі положення не </w:t>
      </w:r>
      <w:r w:rsidRPr="000B0E20">
        <w:rPr>
          <w:rFonts w:ascii="Times New Roman" w:hAnsi="Times New Roman"/>
          <w:sz w:val="28"/>
          <w:szCs w:val="28"/>
          <w:shd w:val="clear" w:color="auto" w:fill="FFFFFF"/>
        </w:rPr>
        <w:t>враховують пр</w:t>
      </w:r>
      <w:r w:rsidRPr="000B0E20">
        <w:rPr>
          <w:rFonts w:ascii="Times New Roman" w:hAnsi="Times New Roman"/>
          <w:sz w:val="28"/>
          <w:szCs w:val="28"/>
        </w:rPr>
        <w:t xml:space="preserve">авової позиції Конституційного Суду України, у рішенні від 30 травня 2001 року № 7-рп/2001 якого вказано, що принцип правової держави 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w:t>
      </w:r>
      <w:r w:rsidRPr="000B0E20">
        <w:rPr>
          <w:rFonts w:ascii="Times New Roman" w:hAnsi="Times New Roman"/>
          <w:sz w:val="28"/>
          <w:szCs w:val="28"/>
        </w:rPr>
        <w:lastRenderedPageBreak/>
        <w:t>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p>
    <w:p w:rsidR="00E445DE" w:rsidRPr="000B0E20" w:rsidRDefault="00E445DE" w:rsidP="008777B7">
      <w:pPr>
        <w:pStyle w:val="af3"/>
        <w:spacing w:after="120" w:line="288" w:lineRule="auto"/>
        <w:ind w:firstLine="709"/>
        <w:jc w:val="both"/>
        <w:rPr>
          <w:szCs w:val="28"/>
          <w:lang w:val="uk-UA"/>
        </w:rPr>
      </w:pPr>
      <w:r w:rsidRPr="000B0E20">
        <w:rPr>
          <w:szCs w:val="28"/>
          <w:lang w:val="uk-UA"/>
        </w:rPr>
        <w:t xml:space="preserve">Закон повинен вказувати на обсяг будь-якої </w:t>
      </w:r>
      <w:proofErr w:type="spellStart"/>
      <w:r w:rsidRPr="000B0E20">
        <w:rPr>
          <w:szCs w:val="28"/>
          <w:lang w:val="uk-UA"/>
        </w:rPr>
        <w:t>дискреції</w:t>
      </w:r>
      <w:proofErr w:type="spellEnd"/>
      <w:r w:rsidRPr="000B0E20">
        <w:rPr>
          <w:szCs w:val="28"/>
          <w:lang w:val="uk-UA"/>
        </w:rPr>
        <w:t xml:space="preserve"> та на спосіб її здійснення із достатньою чіткістю, аби особа мала змогу відповідним чином захистити себе від свавільних дій влади (пункт 45 </w:t>
      </w:r>
      <w:r w:rsidRPr="00E445DE">
        <w:rPr>
          <w:szCs w:val="28"/>
          <w:lang w:val="uk-UA"/>
        </w:rPr>
        <w:t>д</w:t>
      </w:r>
      <w:r w:rsidRPr="000B0E20">
        <w:rPr>
          <w:szCs w:val="28"/>
          <w:lang w:val="uk-UA"/>
        </w:rPr>
        <w:t xml:space="preserve">оповіді </w:t>
      </w:r>
      <w:r w:rsidRPr="00E445DE">
        <w:rPr>
          <w:szCs w:val="28"/>
          <w:lang w:val="uk-UA"/>
        </w:rPr>
        <w:t>"</w:t>
      </w:r>
      <w:r w:rsidRPr="000B0E20">
        <w:rPr>
          <w:szCs w:val="28"/>
          <w:lang w:val="uk-UA"/>
        </w:rPr>
        <w:t>Верховенство права</w:t>
      </w:r>
      <w:r w:rsidRPr="00E445DE">
        <w:rPr>
          <w:szCs w:val="28"/>
          <w:lang w:val="uk-UA"/>
        </w:rPr>
        <w:t>"</w:t>
      </w:r>
      <w:r w:rsidRPr="000B0E20">
        <w:rPr>
          <w:szCs w:val="28"/>
          <w:lang w:val="uk-UA"/>
        </w:rPr>
        <w:t xml:space="preserve">, схваленої Європейською Комісією </w:t>
      </w:r>
      <w:r w:rsidRPr="000B0E20">
        <w:rPr>
          <w:szCs w:val="28"/>
        </w:rPr>
        <w:t>"</w:t>
      </w:r>
      <w:r w:rsidRPr="000B0E20">
        <w:rPr>
          <w:szCs w:val="28"/>
          <w:lang w:val="uk-UA"/>
        </w:rPr>
        <w:t>За демократію через право</w:t>
      </w:r>
      <w:r w:rsidRPr="000B0E20">
        <w:rPr>
          <w:szCs w:val="28"/>
        </w:rPr>
        <w:t>"</w:t>
      </w:r>
      <w:r w:rsidRPr="000B0E20">
        <w:rPr>
          <w:szCs w:val="28"/>
          <w:lang w:val="uk-UA"/>
        </w:rPr>
        <w:t xml:space="preserve"> на 86-му пленарному засіданні).</w:t>
      </w:r>
    </w:p>
    <w:p w:rsidR="00E445DE" w:rsidRPr="000B0E20" w:rsidRDefault="00E445DE" w:rsidP="008777B7">
      <w:pPr>
        <w:spacing w:after="120" w:line="288" w:lineRule="auto"/>
        <w:ind w:firstLine="709"/>
        <w:jc w:val="both"/>
        <w:rPr>
          <w:rFonts w:ascii="Times New Roman" w:hAnsi="Times New Roman"/>
          <w:sz w:val="28"/>
          <w:szCs w:val="28"/>
          <w:shd w:val="clear" w:color="auto" w:fill="FFFFFF"/>
        </w:rPr>
      </w:pPr>
      <w:r w:rsidRPr="000B0E20">
        <w:rPr>
          <w:rFonts w:ascii="Times New Roman" w:hAnsi="Times New Roman"/>
          <w:sz w:val="28"/>
          <w:szCs w:val="28"/>
          <w:shd w:val="clear" w:color="auto" w:fill="FFFFFF"/>
        </w:rPr>
        <w:t>Законопроект містить також інші недоліки в сенсі правової визначеності:</w:t>
      </w:r>
    </w:p>
    <w:p w:rsidR="00E445DE" w:rsidRPr="000B0E20" w:rsidRDefault="00E445DE" w:rsidP="008777B7">
      <w:pPr>
        <w:spacing w:after="120" w:line="288" w:lineRule="auto"/>
        <w:ind w:firstLine="709"/>
        <w:jc w:val="both"/>
        <w:rPr>
          <w:rFonts w:ascii="Times New Roman" w:hAnsi="Times New Roman"/>
          <w:sz w:val="28"/>
          <w:szCs w:val="28"/>
          <w:shd w:val="clear" w:color="auto" w:fill="FFFFFF"/>
        </w:rPr>
      </w:pPr>
      <w:r w:rsidRPr="000B0E20">
        <w:rPr>
          <w:rFonts w:ascii="Times New Roman" w:hAnsi="Times New Roman"/>
          <w:sz w:val="28"/>
          <w:szCs w:val="28"/>
          <w:shd w:val="clear" w:color="auto" w:fill="FFFFFF"/>
        </w:rPr>
        <w:t xml:space="preserve">- у статті 1 у визначенні терміну </w:t>
      </w:r>
      <w:r w:rsidRPr="000B0E20">
        <w:rPr>
          <w:rFonts w:ascii="Times New Roman" w:hAnsi="Times New Roman"/>
          <w:sz w:val="28"/>
          <w:szCs w:val="28"/>
        </w:rPr>
        <w:t>"</w:t>
      </w:r>
      <w:r w:rsidRPr="000B0E20">
        <w:rPr>
          <w:rFonts w:ascii="Times New Roman" w:hAnsi="Times New Roman"/>
          <w:sz w:val="28"/>
          <w:szCs w:val="28"/>
          <w:shd w:val="clear" w:color="auto" w:fill="FFFFFF"/>
        </w:rPr>
        <w:t>суб’єкт аудиторської діяльності</w:t>
      </w:r>
      <w:r w:rsidRPr="000B0E20">
        <w:rPr>
          <w:rFonts w:ascii="Times New Roman" w:hAnsi="Times New Roman"/>
          <w:sz w:val="28"/>
          <w:szCs w:val="28"/>
        </w:rPr>
        <w:t>"</w:t>
      </w:r>
      <w:r w:rsidRPr="000B0E20">
        <w:rPr>
          <w:rFonts w:ascii="Times New Roman" w:hAnsi="Times New Roman"/>
          <w:sz w:val="28"/>
          <w:szCs w:val="28"/>
          <w:shd w:val="clear" w:color="auto" w:fill="FFFFFF"/>
        </w:rPr>
        <w:t xml:space="preserve"> в цілях реалізації положень статті 4 цього Закону</w:t>
      </w:r>
      <w:r w:rsidRPr="000B0E20">
        <w:rPr>
          <w:rFonts w:ascii="Times New Roman" w:hAnsi="Times New Roman"/>
          <w:sz w:val="28"/>
          <w:szCs w:val="28"/>
        </w:rPr>
        <w:t>"</w:t>
      </w:r>
      <w:r w:rsidRPr="000B0E20">
        <w:rPr>
          <w:rFonts w:ascii="Times New Roman" w:hAnsi="Times New Roman"/>
          <w:sz w:val="28"/>
          <w:szCs w:val="28"/>
          <w:shd w:val="clear" w:color="auto" w:fill="FFFFFF"/>
        </w:rPr>
        <w:t xml:space="preserve"> слова </w:t>
      </w:r>
      <w:r w:rsidRPr="000B0E20">
        <w:rPr>
          <w:rFonts w:ascii="Times New Roman" w:hAnsi="Times New Roman"/>
          <w:sz w:val="28"/>
          <w:szCs w:val="28"/>
        </w:rPr>
        <w:t>"</w:t>
      </w:r>
      <w:r w:rsidRPr="000B0E20">
        <w:rPr>
          <w:rFonts w:ascii="Times New Roman" w:hAnsi="Times New Roman"/>
          <w:sz w:val="28"/>
          <w:szCs w:val="28"/>
          <w:shd w:val="clear" w:color="auto" w:fill="FFFFFF"/>
        </w:rPr>
        <w:t>в цілях реалізації положень статті 4 цього Закону</w:t>
      </w:r>
      <w:r w:rsidRPr="000B0E20">
        <w:rPr>
          <w:rFonts w:ascii="Times New Roman" w:hAnsi="Times New Roman"/>
          <w:sz w:val="28"/>
          <w:szCs w:val="28"/>
        </w:rPr>
        <w:t>"</w:t>
      </w:r>
      <w:r w:rsidRPr="000B0E20">
        <w:rPr>
          <w:rFonts w:ascii="Times New Roman" w:hAnsi="Times New Roman"/>
          <w:sz w:val="28"/>
          <w:szCs w:val="28"/>
          <w:shd w:val="clear" w:color="auto" w:fill="FFFFFF"/>
        </w:rPr>
        <w:t xml:space="preserve"> потребують виключення, оскільки в тексті законопроекту використовується саме словосполучення </w:t>
      </w:r>
      <w:r w:rsidRPr="000B0E20">
        <w:rPr>
          <w:rFonts w:ascii="Times New Roman" w:hAnsi="Times New Roman"/>
          <w:sz w:val="28"/>
          <w:szCs w:val="28"/>
        </w:rPr>
        <w:t>"</w:t>
      </w:r>
      <w:r w:rsidRPr="000B0E20">
        <w:rPr>
          <w:rFonts w:ascii="Times New Roman" w:hAnsi="Times New Roman"/>
          <w:sz w:val="28"/>
          <w:szCs w:val="28"/>
          <w:shd w:val="clear" w:color="auto" w:fill="FFFFFF"/>
        </w:rPr>
        <w:t>суб’єкт аудиторської діяльності</w:t>
      </w:r>
      <w:r w:rsidRPr="000B0E20">
        <w:rPr>
          <w:rFonts w:ascii="Times New Roman" w:hAnsi="Times New Roman"/>
          <w:sz w:val="28"/>
          <w:szCs w:val="28"/>
        </w:rPr>
        <w:t>"</w:t>
      </w:r>
      <w:r w:rsidRPr="000B0E20">
        <w:rPr>
          <w:rFonts w:ascii="Times New Roman" w:hAnsi="Times New Roman"/>
          <w:sz w:val="28"/>
          <w:szCs w:val="28"/>
          <w:shd w:val="clear" w:color="auto" w:fill="FFFFFF"/>
        </w:rPr>
        <w:t>, причому про висновки суб’єктів аудиторської діяльності згадується не лише у статті 4 законопроекту;</w:t>
      </w:r>
    </w:p>
    <w:p w:rsidR="00E445DE" w:rsidRPr="000B0E20" w:rsidRDefault="00E445DE" w:rsidP="008777B7">
      <w:pPr>
        <w:spacing w:after="120" w:line="288" w:lineRule="auto"/>
        <w:ind w:firstLine="709"/>
        <w:jc w:val="both"/>
        <w:rPr>
          <w:rFonts w:ascii="Times New Roman" w:hAnsi="Times New Roman"/>
          <w:sz w:val="28"/>
          <w:szCs w:val="28"/>
          <w:shd w:val="clear" w:color="auto" w:fill="FFFFFF"/>
        </w:rPr>
      </w:pPr>
      <w:r w:rsidRPr="000B0E20">
        <w:rPr>
          <w:rFonts w:ascii="Times New Roman" w:hAnsi="Times New Roman"/>
          <w:sz w:val="28"/>
          <w:szCs w:val="28"/>
          <w:shd w:val="clear" w:color="auto" w:fill="FFFFFF"/>
        </w:rPr>
        <w:t xml:space="preserve"> </w:t>
      </w:r>
      <w:r w:rsidRPr="000B0E20">
        <w:rPr>
          <w:rFonts w:ascii="Times New Roman" w:hAnsi="Times New Roman"/>
          <w:sz w:val="28"/>
          <w:szCs w:val="28"/>
          <w:shd w:val="clear" w:color="auto" w:fill="FFFFFF"/>
        </w:rPr>
        <w:tab/>
        <w:t xml:space="preserve">- назва статті 3 законопроекту </w:t>
      </w:r>
      <w:r w:rsidRPr="000B0E20">
        <w:rPr>
          <w:rFonts w:ascii="Times New Roman" w:hAnsi="Times New Roman"/>
          <w:sz w:val="28"/>
          <w:szCs w:val="28"/>
        </w:rPr>
        <w:t>"</w:t>
      </w:r>
      <w:r w:rsidRPr="000B0E20">
        <w:rPr>
          <w:rFonts w:ascii="Times New Roman" w:hAnsi="Times New Roman"/>
          <w:sz w:val="28"/>
          <w:szCs w:val="28"/>
          <w:shd w:val="clear" w:color="auto" w:fill="FFFFFF"/>
        </w:rPr>
        <w:t>Порядок участі у процедурі врегулювання заборгованості</w:t>
      </w:r>
      <w:r w:rsidRPr="000B0E20">
        <w:rPr>
          <w:rFonts w:ascii="Times New Roman" w:hAnsi="Times New Roman"/>
          <w:sz w:val="28"/>
          <w:szCs w:val="28"/>
        </w:rPr>
        <w:t>"</w:t>
      </w:r>
      <w:r w:rsidRPr="000B0E20">
        <w:rPr>
          <w:rFonts w:ascii="Times New Roman" w:hAnsi="Times New Roman"/>
          <w:sz w:val="28"/>
          <w:szCs w:val="28"/>
          <w:shd w:val="clear" w:color="auto" w:fill="FFFFFF"/>
        </w:rPr>
        <w:t xml:space="preserve"> не відповідає її змісту, оскільки у статті йдеться виключно про включення та виключення суб’єктів ринку природного газу до Реєстру підприємств, які беруть учать у процедурі врегулювання заборгованості; </w:t>
      </w:r>
    </w:p>
    <w:p w:rsidR="00E445DE" w:rsidRPr="000B0E20" w:rsidRDefault="00E445DE" w:rsidP="008777B7">
      <w:pPr>
        <w:pStyle w:val="af3"/>
        <w:spacing w:after="120" w:line="288" w:lineRule="auto"/>
        <w:ind w:firstLine="709"/>
        <w:jc w:val="both"/>
        <w:rPr>
          <w:szCs w:val="28"/>
          <w:shd w:val="clear" w:color="auto" w:fill="FFFFFF"/>
          <w:lang w:val="uk-UA"/>
        </w:rPr>
      </w:pPr>
      <w:r w:rsidRPr="000B0E20">
        <w:rPr>
          <w:szCs w:val="28"/>
          <w:shd w:val="clear" w:color="auto" w:fill="FFFFFF"/>
          <w:lang w:val="uk-UA"/>
        </w:rPr>
        <w:t>- у частині другій статті 3 законопроекту міститься єдиний перелік документів, необхідних для включення суб’єктів ринку природного газу до Реєстру. Проте, характер зазначених документів свідчить про те, що не всі вони можуть бути надані всіма суб'єктами ринку, діяльність яких суттєво відрізняється за змістом;</w:t>
      </w:r>
    </w:p>
    <w:p w:rsidR="00E445DE" w:rsidRPr="000B0E20" w:rsidRDefault="00E445DE" w:rsidP="008777B7">
      <w:pPr>
        <w:pStyle w:val="af3"/>
        <w:spacing w:after="120" w:line="288" w:lineRule="auto"/>
        <w:ind w:firstLine="709"/>
        <w:jc w:val="both"/>
        <w:rPr>
          <w:szCs w:val="28"/>
          <w:shd w:val="clear" w:color="auto" w:fill="FFFFFF"/>
          <w:lang w:val="uk-UA"/>
        </w:rPr>
      </w:pPr>
      <w:r w:rsidRPr="000B0E20">
        <w:rPr>
          <w:szCs w:val="28"/>
          <w:shd w:val="clear" w:color="auto" w:fill="FFFFFF"/>
          <w:lang w:val="uk-UA"/>
        </w:rPr>
        <w:t>- потребує уточнення зміст частини третьої статті 5 законопроекту щодо підстав застосування та розміру штрафних санкцій за невиконання умов договору про реструктуризацію;</w:t>
      </w:r>
    </w:p>
    <w:p w:rsidR="00E445DE" w:rsidRPr="000B0E20" w:rsidRDefault="00E445DE" w:rsidP="008777B7">
      <w:pPr>
        <w:pStyle w:val="af3"/>
        <w:spacing w:after="120" w:line="288" w:lineRule="auto"/>
        <w:ind w:firstLine="709"/>
        <w:jc w:val="both"/>
        <w:rPr>
          <w:szCs w:val="28"/>
          <w:shd w:val="clear" w:color="auto" w:fill="FFFFFF"/>
          <w:lang w:val="uk-UA"/>
        </w:rPr>
      </w:pPr>
      <w:r w:rsidRPr="000B0E20">
        <w:rPr>
          <w:szCs w:val="28"/>
          <w:shd w:val="clear" w:color="auto" w:fill="FFFFFF"/>
          <w:lang w:val="uk-UA"/>
        </w:rPr>
        <w:t xml:space="preserve">- незрозуміло, що мається на увазі під </w:t>
      </w:r>
      <w:r w:rsidRPr="000B0E20">
        <w:rPr>
          <w:szCs w:val="28"/>
        </w:rPr>
        <w:t>"</w:t>
      </w:r>
      <w:r w:rsidRPr="000B0E20">
        <w:rPr>
          <w:szCs w:val="28"/>
          <w:shd w:val="clear" w:color="auto" w:fill="FFFFFF"/>
          <w:lang w:val="uk-UA"/>
        </w:rPr>
        <w:t>нормативами розподілу коштів з поточних рахунків із спеціальним режимом використання</w:t>
      </w:r>
      <w:r w:rsidRPr="000B0E20">
        <w:rPr>
          <w:szCs w:val="28"/>
        </w:rPr>
        <w:t>"</w:t>
      </w:r>
      <w:r w:rsidRPr="000B0E20">
        <w:rPr>
          <w:szCs w:val="28"/>
          <w:shd w:val="clear" w:color="auto" w:fill="FFFFFF"/>
          <w:lang w:val="uk-UA"/>
        </w:rPr>
        <w:t xml:space="preserve"> (зміни до статті 4 Закону України </w:t>
      </w:r>
      <w:r w:rsidRPr="000B0E20">
        <w:rPr>
          <w:szCs w:val="28"/>
        </w:rPr>
        <w:t>"</w:t>
      </w:r>
      <w:r w:rsidRPr="000B0E20">
        <w:rPr>
          <w:szCs w:val="28"/>
          <w:shd w:val="clear" w:color="auto" w:fill="FFFFFF"/>
          <w:lang w:val="uk-UA"/>
        </w:rPr>
        <w:t>Про ринок природного газу</w:t>
      </w:r>
      <w:r w:rsidRPr="000B0E20">
        <w:rPr>
          <w:szCs w:val="28"/>
        </w:rPr>
        <w:t>"</w:t>
      </w:r>
      <w:r w:rsidRPr="000B0E20">
        <w:rPr>
          <w:szCs w:val="28"/>
          <w:shd w:val="clear" w:color="auto" w:fill="FFFFFF"/>
          <w:lang w:val="uk-UA"/>
        </w:rPr>
        <w:t>) тощо.</w:t>
      </w:r>
    </w:p>
    <w:p w:rsidR="00E445DE" w:rsidRPr="000B0E20" w:rsidRDefault="00E445DE" w:rsidP="008777B7">
      <w:pPr>
        <w:pStyle w:val="af3"/>
        <w:spacing w:after="120" w:line="288" w:lineRule="auto"/>
        <w:ind w:firstLine="709"/>
        <w:jc w:val="both"/>
        <w:rPr>
          <w:szCs w:val="28"/>
          <w:shd w:val="clear" w:color="auto" w:fill="FFFFFF"/>
          <w:lang w:val="uk-UA"/>
        </w:rPr>
      </w:pPr>
      <w:r w:rsidRPr="000B0E20">
        <w:rPr>
          <w:szCs w:val="28"/>
          <w:shd w:val="clear" w:color="auto" w:fill="FFFFFF"/>
          <w:lang w:val="uk-UA"/>
        </w:rPr>
        <w:lastRenderedPageBreak/>
        <w:t>Зазначене свідчить про відсутність у законопроекті завершених правових механізмів, необхідних для реалізації впроваджуваних правових норм.</w:t>
      </w:r>
    </w:p>
    <w:p w:rsidR="00E445DE" w:rsidRPr="00E445DE" w:rsidRDefault="00E445DE" w:rsidP="008777B7">
      <w:pPr>
        <w:pStyle w:val="af3"/>
        <w:spacing w:after="120" w:line="288" w:lineRule="auto"/>
        <w:ind w:firstLine="709"/>
        <w:jc w:val="both"/>
        <w:rPr>
          <w:szCs w:val="28"/>
          <w:shd w:val="clear" w:color="auto" w:fill="FFFFFF"/>
          <w:lang w:val="uk-UA"/>
        </w:rPr>
      </w:pPr>
      <w:r w:rsidRPr="00E445DE">
        <w:rPr>
          <w:szCs w:val="28"/>
          <w:shd w:val="clear" w:color="auto" w:fill="FFFFFF"/>
          <w:lang w:val="uk-UA"/>
        </w:rPr>
        <w:t xml:space="preserve">3. Положення частини четвертої статті 5 законопроекту стосовно того, що </w:t>
      </w:r>
      <w:r w:rsidRPr="00E445DE">
        <w:rPr>
          <w:szCs w:val="28"/>
          <w:lang w:val="uk-UA"/>
        </w:rPr>
        <w:t>"</w:t>
      </w:r>
      <w:r w:rsidRPr="00E445DE">
        <w:rPr>
          <w:szCs w:val="28"/>
          <w:shd w:val="clear" w:color="auto" w:fill="FFFFFF"/>
          <w:lang w:val="uk-UA"/>
        </w:rPr>
        <w:t>виконання зобов'язань за договором про реструктуризацію заборгованості забезпечується шляхом надання учасниками процедури врегулювання фінансових та/або інших гарантій на суму реструктуризації</w:t>
      </w:r>
      <w:r w:rsidRPr="00E445DE">
        <w:rPr>
          <w:szCs w:val="28"/>
          <w:lang w:val="uk-UA"/>
        </w:rPr>
        <w:t>"</w:t>
      </w:r>
      <w:r w:rsidRPr="00E445DE">
        <w:rPr>
          <w:szCs w:val="28"/>
          <w:shd w:val="clear" w:color="auto" w:fill="FFFFFF"/>
          <w:lang w:val="uk-UA"/>
        </w:rPr>
        <w:t xml:space="preserve"> є некоректним з точки зору категорій та понять, що вживаються у цивільному законодавстві України. Відповідно до частини першої статті 546 Цивільного кодексу України виконання зобов</w:t>
      </w:r>
      <w:r w:rsidR="0076774A">
        <w:rPr>
          <w:szCs w:val="28"/>
          <w:shd w:val="clear" w:color="auto" w:fill="FFFFFF"/>
          <w:lang w:val="uk-UA"/>
        </w:rPr>
        <w:t>’</w:t>
      </w:r>
      <w:r w:rsidRPr="00E445DE">
        <w:rPr>
          <w:szCs w:val="28"/>
          <w:shd w:val="clear" w:color="auto" w:fill="FFFFFF"/>
          <w:lang w:val="uk-UA"/>
        </w:rPr>
        <w:t xml:space="preserve">язання може забезпечуватися неустойкою, порукою, гарантією, заставою, </w:t>
      </w:r>
      <w:proofErr w:type="spellStart"/>
      <w:r w:rsidRPr="00E445DE">
        <w:rPr>
          <w:szCs w:val="28"/>
          <w:shd w:val="clear" w:color="auto" w:fill="FFFFFF"/>
          <w:lang w:val="uk-UA"/>
        </w:rPr>
        <w:t>притриманням</w:t>
      </w:r>
      <w:proofErr w:type="spellEnd"/>
      <w:r w:rsidRPr="00E445DE">
        <w:rPr>
          <w:szCs w:val="28"/>
          <w:shd w:val="clear" w:color="auto" w:fill="FFFFFF"/>
          <w:lang w:val="uk-UA"/>
        </w:rPr>
        <w:t>, завдатком, правом довірчої власності.</w:t>
      </w:r>
    </w:p>
    <w:p w:rsidR="00E445DE" w:rsidRPr="00E445DE" w:rsidRDefault="00E445DE" w:rsidP="008777B7">
      <w:pPr>
        <w:pStyle w:val="af3"/>
        <w:spacing w:after="120" w:line="288" w:lineRule="auto"/>
        <w:ind w:firstLine="709"/>
        <w:jc w:val="both"/>
        <w:rPr>
          <w:szCs w:val="28"/>
          <w:shd w:val="clear" w:color="auto" w:fill="FFFFFF"/>
          <w:lang w:val="uk-UA"/>
        </w:rPr>
      </w:pPr>
      <w:r w:rsidRPr="00E445DE">
        <w:rPr>
          <w:szCs w:val="28"/>
          <w:shd w:val="clear" w:color="auto" w:fill="FFFFFF"/>
          <w:lang w:val="uk-UA"/>
        </w:rPr>
        <w:t xml:space="preserve">Аналогічні зауваження стосуються запропонованих змін до частини четвертої статті 5 Закону України </w:t>
      </w:r>
      <w:r w:rsidRPr="00E445DE">
        <w:rPr>
          <w:szCs w:val="28"/>
          <w:lang w:val="uk-UA"/>
        </w:rPr>
        <w:t>"</w:t>
      </w:r>
      <w:r w:rsidRPr="00E445DE">
        <w:rPr>
          <w:szCs w:val="28"/>
          <w:shd w:val="clear" w:color="auto" w:fill="FFFFFF"/>
          <w:lang w:val="uk-UA"/>
        </w:rPr>
        <w:t>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w:t>
      </w:r>
      <w:r w:rsidRPr="00E445DE">
        <w:rPr>
          <w:szCs w:val="28"/>
          <w:lang w:val="uk-UA"/>
        </w:rPr>
        <w:t>".</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rPr>
        <w:t>4. Законопроектом запроваджується порядок взаєморозрахунків між суб’єктами ринку природного газу для врегулювання заборгованості за надані послуги з постачання та транспортування природного газу "із залученням коштів державного бюджету".</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rPr>
        <w:t>Насамперед слід зауважити, що законопроект системно не вирішує проблему виникнення заборгованості на ринку природного газу внаслідок несплати платежів, що спонукатиме і далі суб'єктів господарювання до подальш</w:t>
      </w:r>
      <w:r w:rsidR="0076774A">
        <w:rPr>
          <w:rFonts w:ascii="Times New Roman" w:hAnsi="Times New Roman"/>
          <w:sz w:val="28"/>
          <w:szCs w:val="28"/>
        </w:rPr>
        <w:t>ої</w:t>
      </w:r>
      <w:r w:rsidRPr="000B0E20">
        <w:rPr>
          <w:rFonts w:ascii="Times New Roman" w:hAnsi="Times New Roman"/>
          <w:sz w:val="28"/>
          <w:szCs w:val="28"/>
        </w:rPr>
        <w:t xml:space="preserve"> </w:t>
      </w:r>
      <w:r w:rsidR="0076774A">
        <w:rPr>
          <w:rFonts w:ascii="Times New Roman" w:hAnsi="Times New Roman"/>
          <w:sz w:val="28"/>
          <w:szCs w:val="28"/>
        </w:rPr>
        <w:t>заборгованості</w:t>
      </w:r>
      <w:r w:rsidRPr="000B0E20">
        <w:rPr>
          <w:rFonts w:ascii="Times New Roman" w:hAnsi="Times New Roman"/>
          <w:sz w:val="28"/>
          <w:szCs w:val="28"/>
        </w:rPr>
        <w:t xml:space="preserve"> за природний газ та висунення вимог щодо списання утвореної заборгованості за рахунок коштів Державного бюджету України.</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rPr>
        <w:t>Так, законопроектом передбачається, що:</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rPr>
        <w:t xml:space="preserve">- </w:t>
      </w:r>
      <w:r w:rsidRPr="000B0E20">
        <w:rPr>
          <w:sz w:val="28"/>
          <w:szCs w:val="28"/>
        </w:rPr>
        <w:t>"в</w:t>
      </w:r>
      <w:r w:rsidRPr="000B0E20">
        <w:rPr>
          <w:rFonts w:ascii="Times New Roman" w:hAnsi="Times New Roman"/>
          <w:sz w:val="28"/>
          <w:szCs w:val="28"/>
        </w:rPr>
        <w:t xml:space="preserve">заєморозрахунки проводяться у порядку та на умовах, затверджених Кабінетом Міністрів України, в межах видатків спеціального фонду державного бюджету за цільовим призначенням в обсягах, передбачених Законом України "Про Державний бюджет України на 2021 рік", із застосуванням рахунків, відкритих у Державному казначействі України, згідно з договором про організацію взаєморозрахунків, який укладається між учасниками розрахунків на підставі документа, що підтверджує наявність в обліку учасників розрахунків кредиторської та/або дебіторської </w:t>
      </w:r>
      <w:r w:rsidRPr="000B0E20">
        <w:rPr>
          <w:rFonts w:ascii="Times New Roman" w:hAnsi="Times New Roman"/>
          <w:sz w:val="28"/>
          <w:szCs w:val="28"/>
        </w:rPr>
        <w:lastRenderedPageBreak/>
        <w:t>заборгованості на дату підписання такого договору, та в обсязі, що не перевищує підтверджену учасниками заборгованість" (редакція статті 4 Закону України "Про заходи, спрямовані на подолання кризових явищ та забезпечення фінансової стабільності на ринку природного газу");</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rPr>
        <w:t xml:space="preserve">- "взаєморозрахунки проводяться у порядку та на умовах, затверджених Кабінетом Міністрів України, за рахунок та в межах видатків спеціального фонду державного бюджету за цільовим призначенням, джерелом формування яких є надходження, визначені Законом України "Про Державний бюджет України на 2021 рік" на погашення заборгованості з різниці в тарифах" (зміни до статті 4 Закону України </w:t>
      </w:r>
      <w:r w:rsidRPr="000B0E20">
        <w:rPr>
          <w:sz w:val="28"/>
          <w:szCs w:val="28"/>
        </w:rPr>
        <w:t>"</w:t>
      </w:r>
      <w:r w:rsidRPr="000B0E20">
        <w:rPr>
          <w:rFonts w:ascii="Times New Roman" w:hAnsi="Times New Roman"/>
          <w:sz w:val="28"/>
          <w:szCs w:val="28"/>
        </w:rPr>
        <w:t>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rPr>
        <w:t>Зазначені положення законопроекту не відповідають частині другій статті 95 Конституції України, відповідно до якої включно законом про Державний бюджет України (а не у порядку та на умовах, затверджених Кабінетом Міністрів України, як це передбачається законопроектом), визначаються будь-які видатки держави на загальносуспільні потреби, розмір і цільове спрямування цих видатків.</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rPr>
        <w:t>Необхідно також зауважити, що реалізація положень законопроекту впливатиме на показники Державного бюджету України. При цьому принагідно зазначаємо, що відповідно до пояснювальної записки до законопроекту загальний обсяг заборгованості суб’єктів ринку природного газу та супутніх ринків "станом на 1 травня 2021 року може перевищити 100 млрд. грн". Проте всупереч вимогам частини першої статті 27 Бюджетного кодексу України до законопроекту не додано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rPr>
        <w:t xml:space="preserve">Крім того, у Законі України "Про Державний бюджет України на 2021 рік" не передбачено відповідних видатків для проведення визначених законопроектом взаєморозрахунків між суб’єктами ринку природного газу для врегулювання заборгованості за надані послуги. Отож, реалізація положень законопроекту не забезпечена фінансовими ресурсами, оскільки відсутні джерела формування доходів державного бюджету, за рахунок яких передбачено здійснювати відповідні видатки. Відтак, реалізація </w:t>
      </w:r>
      <w:r w:rsidRPr="000B0E20">
        <w:rPr>
          <w:rFonts w:ascii="Times New Roman" w:hAnsi="Times New Roman"/>
          <w:sz w:val="28"/>
          <w:szCs w:val="28"/>
        </w:rPr>
        <w:lastRenderedPageBreak/>
        <w:t xml:space="preserve">законопроекту призведе до розбалансування видатків та доходів Державного бюджету України. </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rPr>
        <w:t>Зазначене порушує норми частини третьої статті 95 Конституції України, відповідно до якої держава прагне до збалансованості бюджету України, та суперечить статті 7 Бюджетного кодексу України, що визначає принцип збалансованості, за яким повноваження на здійснення витрат бюджету мають відповідати обсягу надходжень бюджету на відповідний бюджетний період.</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rPr>
        <w:t>З огляду на зазначене, положення законопроекту про проведення взаєморозрахунків між суб’єктами ринку природного газу для врегулювання заборгованості "у порядку та на умовах, затверджених Кабінетом Міністрів України, в межах видатків спеціального фонду державного бюджету за цільовим призначенням в обсягах, передбачених Законом України "Про Державний бюджет України на 2021 рік", потребують доопрацювання як такі, що суперечать статті 95 Конституції України та вимогам Бюджетного кодексу України.</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rPr>
        <w:t xml:space="preserve">Крім того законопроект також не відповідає частині третій статті 27 Кодексу, якою встановлено, що закони України або їх окремі положення, які впливають на показники бюджету (зменшують надходження або збільшують витрати бюджету) і приймаються не пізніше 15 липня, що передує плановому, вводяться в дію не раніше початку планового бюджетного періоду, а після 15 липня року, що передує плановому, вводяться в дію не раніше початку бюджетного періоду, що настає за плановим. </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rPr>
        <w:t xml:space="preserve">Запропонований механізм врегулювання заборгованості на ринку природного газу не відповідає зобов'язанням з реформи енергетичного сектору, визначеним Меморандумом з Міжнародним валютним фондом про економічну та фінансову політику від 2 червня 2020 року. За цими зобов'язаннями проблемні питання енергетичного сектору та сфери житлово-комунальних послуг повинні вирішуватися шляхом ринкового ціноутворення на природний газ, приведення НКРЕКП тарифів на розподіл до повного відшкодування витрат, встановлення тарифів на опалення на рівні, що відображає повну вартість газу та інших витрат, а також розроблення для підприємств теплопостачання адекватних механізмів стягнення платежів з домогосподарств. При цьому основним інструментом соціального захисту малозабезпечених та вразливих господарств при перегляді тарифів на тепло та природний газ має бути механізм надання субсидій. </w:t>
      </w:r>
    </w:p>
    <w:p w:rsidR="00E445DE" w:rsidRPr="000B0E20" w:rsidRDefault="00E445DE" w:rsidP="008777B7">
      <w:pPr>
        <w:spacing w:after="120" w:line="288" w:lineRule="auto"/>
        <w:ind w:firstLine="709"/>
        <w:jc w:val="both"/>
        <w:rPr>
          <w:rFonts w:ascii="Times New Roman" w:hAnsi="Times New Roman"/>
          <w:sz w:val="28"/>
          <w:szCs w:val="28"/>
          <w:lang w:eastAsia="ru-RU"/>
        </w:rPr>
      </w:pPr>
      <w:r w:rsidRPr="000B0E20">
        <w:rPr>
          <w:rFonts w:ascii="Times New Roman" w:hAnsi="Times New Roman"/>
          <w:bCs/>
          <w:sz w:val="28"/>
          <w:szCs w:val="28"/>
          <w:lang w:eastAsia="ru-RU"/>
        </w:rPr>
        <w:lastRenderedPageBreak/>
        <w:t xml:space="preserve">5. Законопроектом пропонуються зміни до частини четвертої статті 34 </w:t>
      </w:r>
      <w:r w:rsidRPr="000B0E20">
        <w:rPr>
          <w:rFonts w:ascii="Times New Roman" w:hAnsi="Times New Roman"/>
          <w:sz w:val="28"/>
          <w:szCs w:val="28"/>
        </w:rPr>
        <w:t xml:space="preserve">Закону України "Про виконавче провадження", якими передбачається </w:t>
      </w:r>
      <w:r w:rsidRPr="000B0E20">
        <w:rPr>
          <w:rFonts w:ascii="Times New Roman" w:hAnsi="Times New Roman"/>
          <w:sz w:val="28"/>
          <w:szCs w:val="28"/>
          <w:lang w:eastAsia="ru-RU"/>
        </w:rPr>
        <w:t xml:space="preserve">зупинення виконавчих проваджень </w:t>
      </w:r>
      <w:r w:rsidRPr="000B0E20">
        <w:rPr>
          <w:rFonts w:ascii="Times New Roman" w:hAnsi="Times New Roman"/>
          <w:bCs/>
          <w:iCs/>
          <w:sz w:val="28"/>
          <w:szCs w:val="28"/>
        </w:rPr>
        <w:t>у частині</w:t>
      </w:r>
      <w:r w:rsidRPr="000B0E20">
        <w:rPr>
          <w:rFonts w:ascii="Times New Roman" w:hAnsi="Times New Roman"/>
          <w:bCs/>
          <w:i/>
          <w:iCs/>
          <w:sz w:val="28"/>
          <w:szCs w:val="28"/>
        </w:rPr>
        <w:t xml:space="preserve"> </w:t>
      </w:r>
      <w:r w:rsidRPr="000B0E20">
        <w:rPr>
          <w:rFonts w:ascii="Times New Roman" w:hAnsi="Times New Roman"/>
          <w:bCs/>
          <w:iCs/>
          <w:sz w:val="28"/>
          <w:szCs w:val="28"/>
        </w:rPr>
        <w:t>"</w:t>
      </w:r>
      <w:r w:rsidRPr="000B0E20">
        <w:rPr>
          <w:rFonts w:ascii="Times New Roman" w:hAnsi="Times New Roman"/>
          <w:sz w:val="28"/>
          <w:szCs w:val="28"/>
        </w:rPr>
        <w:t>стягнення з теплопостачальних та теплогенеруючих організацій заборгованості за спожитий природний газ, використаний станом на 1 червня 2021 року для виробництва теплової енергії, послуг з централізованого опалення та централізованого постачання гарячої води, послуг з постачання теплової енергії та постачання гарячої води (з урахуванням суми неустойки (штрафу, пені), інфляційних нарахувань, процентів річних, нарахованих на заборгованість за спожитий природний газ), а також за послуги з транспортування і розподілу природного газу, теплову енергію, отриману для її подальшого постачання споживачам та/або надання відповідних комунальних послуг, та підприємств централізованого водопостачання та водовідведення за електричну енергію, спожиту для виробництва та надання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r w:rsidRPr="000B0E20">
        <w:rPr>
          <w:rFonts w:ascii="Times New Roman" w:hAnsi="Times New Roman"/>
          <w:bCs/>
          <w:i/>
          <w:iCs/>
          <w:sz w:val="28"/>
          <w:szCs w:val="28"/>
        </w:rPr>
        <w:t>.</w:t>
      </w:r>
    </w:p>
    <w:p w:rsidR="00E445DE" w:rsidRPr="000B0E20" w:rsidRDefault="00E445DE" w:rsidP="008777B7">
      <w:pPr>
        <w:spacing w:after="120" w:line="288" w:lineRule="auto"/>
        <w:ind w:firstLine="709"/>
        <w:jc w:val="both"/>
        <w:rPr>
          <w:rFonts w:ascii="Times New Roman" w:hAnsi="Times New Roman"/>
          <w:sz w:val="28"/>
          <w:szCs w:val="28"/>
          <w:lang w:eastAsia="ru-RU"/>
        </w:rPr>
      </w:pPr>
      <w:r w:rsidRPr="000B0E20">
        <w:rPr>
          <w:rFonts w:ascii="Times New Roman" w:hAnsi="Times New Roman"/>
          <w:sz w:val="28"/>
          <w:szCs w:val="28"/>
          <w:lang w:eastAsia="ru-RU"/>
        </w:rPr>
        <w:t>Реалізація передбачених проектом положень призведе до неналежного виконання рішень судів, а відтак і до невиконання конституційного принципу, передбаченого у пункті 9 частини третьої статті 129, статті 129</w:t>
      </w:r>
      <w:r w:rsidRPr="000B0E20">
        <w:rPr>
          <w:rFonts w:ascii="Times New Roman" w:hAnsi="Times New Roman"/>
          <w:sz w:val="28"/>
          <w:szCs w:val="28"/>
          <w:vertAlign w:val="superscript"/>
          <w:lang w:eastAsia="ru-RU"/>
        </w:rPr>
        <w:t>1</w:t>
      </w:r>
      <w:r w:rsidRPr="000B0E20">
        <w:rPr>
          <w:rFonts w:ascii="Times New Roman" w:hAnsi="Times New Roman"/>
          <w:sz w:val="28"/>
          <w:szCs w:val="28"/>
          <w:lang w:eastAsia="ru-RU"/>
        </w:rPr>
        <w:t xml:space="preserve"> Конституції України, згідно з якими судові рішення ухвалюються іменем України і є обов'язковими до виконання на всій території України. Так, Конституційний Суд України неодноразово наголошував, що виконання судового рішення є невід’ємною складовою права кожного на судовий захист і охоплює, зокрема, законодавчо визначений комплекс дій, спрямованих на захист і відновлення порушених прав, свобод, законних інтересів фізичних та юридичних осіб, суспільства, держави; невиконання судового рішення загрожує сутності права на справедливий розгляд судом (рішення від 13.12.2012 № 18-рп/2012, від 25.04.2012 № 11-рп/2012, від 26.06.2013 № 5-рп/2013).</w:t>
      </w:r>
    </w:p>
    <w:p w:rsidR="00E445DE" w:rsidRPr="000B0E20" w:rsidRDefault="00E445DE" w:rsidP="008777B7">
      <w:pPr>
        <w:spacing w:after="120" w:line="288" w:lineRule="auto"/>
        <w:ind w:firstLine="709"/>
        <w:jc w:val="both"/>
        <w:rPr>
          <w:rFonts w:ascii="Times New Roman" w:hAnsi="Times New Roman"/>
          <w:sz w:val="28"/>
          <w:szCs w:val="28"/>
          <w:lang w:eastAsia="uk-UA"/>
        </w:rPr>
      </w:pPr>
      <w:r w:rsidRPr="000B0E20">
        <w:rPr>
          <w:rFonts w:ascii="Times New Roman" w:hAnsi="Times New Roman"/>
          <w:sz w:val="28"/>
          <w:szCs w:val="28"/>
          <w:lang w:eastAsia="ru-RU"/>
        </w:rPr>
        <w:t>Крім того, відповідно до практики Європейського суду з прав людини виконання судових рішень розглядається як невід’ємна частина судового розгляду в розумінні ст. 6 Конвенції про захист прав людини і основоположних свобод, що передбачає право на справедливий суд</w:t>
      </w:r>
      <w:r w:rsidRPr="000B0E20">
        <w:rPr>
          <w:rFonts w:ascii="Times New Roman" w:hAnsi="Times New Roman"/>
          <w:sz w:val="28"/>
          <w:szCs w:val="28"/>
          <w:lang w:eastAsia="uk-UA"/>
        </w:rPr>
        <w:t xml:space="preserve"> (рішення Європейського суду з прав людини від 19 березня 1997 року у справі </w:t>
      </w:r>
      <w:r w:rsidRPr="000B0E20">
        <w:rPr>
          <w:rFonts w:ascii="Times New Roman" w:hAnsi="Times New Roman"/>
          <w:sz w:val="28"/>
          <w:szCs w:val="28"/>
        </w:rPr>
        <w:t>"</w:t>
      </w:r>
      <w:proofErr w:type="spellStart"/>
      <w:r w:rsidRPr="000B0E20">
        <w:rPr>
          <w:rFonts w:ascii="Times New Roman" w:hAnsi="Times New Roman"/>
          <w:sz w:val="28"/>
          <w:szCs w:val="28"/>
          <w:lang w:eastAsia="uk-UA"/>
        </w:rPr>
        <w:t>Горнсбі</w:t>
      </w:r>
      <w:proofErr w:type="spellEnd"/>
      <w:r w:rsidRPr="000B0E20">
        <w:rPr>
          <w:rFonts w:ascii="Times New Roman" w:hAnsi="Times New Roman"/>
          <w:sz w:val="28"/>
          <w:szCs w:val="28"/>
          <w:lang w:eastAsia="uk-UA"/>
        </w:rPr>
        <w:t xml:space="preserve"> проти Греції</w:t>
      </w:r>
      <w:r w:rsidRPr="000B0E20">
        <w:rPr>
          <w:rFonts w:ascii="Times New Roman" w:hAnsi="Times New Roman"/>
          <w:sz w:val="28"/>
          <w:szCs w:val="28"/>
        </w:rPr>
        <w:t>"</w:t>
      </w:r>
      <w:r w:rsidRPr="000B0E20">
        <w:rPr>
          <w:rFonts w:ascii="Times New Roman" w:hAnsi="Times New Roman"/>
          <w:sz w:val="28"/>
          <w:szCs w:val="28"/>
          <w:lang w:eastAsia="uk-UA"/>
        </w:rPr>
        <w:t xml:space="preserve">, рішення Європейського суду з прав людини від 28 листопада 1999 року у справі </w:t>
      </w:r>
      <w:r w:rsidRPr="000B0E20">
        <w:rPr>
          <w:rFonts w:ascii="Times New Roman" w:hAnsi="Times New Roman"/>
          <w:sz w:val="28"/>
          <w:szCs w:val="28"/>
        </w:rPr>
        <w:t>"</w:t>
      </w:r>
      <w:proofErr w:type="spellStart"/>
      <w:r w:rsidRPr="000B0E20">
        <w:rPr>
          <w:rFonts w:ascii="Times New Roman" w:hAnsi="Times New Roman"/>
          <w:sz w:val="28"/>
          <w:szCs w:val="28"/>
          <w:lang w:eastAsia="uk-UA"/>
        </w:rPr>
        <w:t>Брумареску</w:t>
      </w:r>
      <w:proofErr w:type="spellEnd"/>
      <w:r w:rsidRPr="000B0E20">
        <w:rPr>
          <w:rFonts w:ascii="Times New Roman" w:hAnsi="Times New Roman"/>
          <w:sz w:val="28"/>
          <w:szCs w:val="28"/>
          <w:lang w:eastAsia="uk-UA"/>
        </w:rPr>
        <w:t xml:space="preserve"> проти Румунії</w:t>
      </w:r>
      <w:r w:rsidRPr="000B0E20">
        <w:rPr>
          <w:rFonts w:ascii="Times New Roman" w:hAnsi="Times New Roman"/>
          <w:sz w:val="28"/>
          <w:szCs w:val="28"/>
        </w:rPr>
        <w:t>"</w:t>
      </w:r>
      <w:r w:rsidRPr="000B0E20">
        <w:rPr>
          <w:rFonts w:ascii="Times New Roman" w:hAnsi="Times New Roman"/>
          <w:sz w:val="28"/>
          <w:szCs w:val="28"/>
          <w:lang w:eastAsia="uk-UA"/>
        </w:rPr>
        <w:t>)</w:t>
      </w:r>
      <w:r w:rsidRPr="000B0E20">
        <w:rPr>
          <w:rFonts w:ascii="Times New Roman" w:hAnsi="Times New Roman"/>
          <w:sz w:val="28"/>
          <w:szCs w:val="28"/>
          <w:lang w:eastAsia="ru-RU"/>
        </w:rPr>
        <w:t>. У резолюції Парламентської асамблеї Ради Європи 1787</w:t>
      </w:r>
      <w:r>
        <w:rPr>
          <w:rFonts w:ascii="Times New Roman" w:hAnsi="Times New Roman"/>
          <w:sz w:val="28"/>
          <w:szCs w:val="28"/>
          <w:lang w:eastAsia="ru-RU"/>
        </w:rPr>
        <w:t xml:space="preserve"> (2011) від 26 січня 2011 року </w:t>
      </w:r>
      <w:r w:rsidRPr="000B0E20">
        <w:rPr>
          <w:rFonts w:ascii="Times New Roman" w:hAnsi="Times New Roman"/>
          <w:sz w:val="28"/>
          <w:szCs w:val="28"/>
        </w:rPr>
        <w:t>"</w:t>
      </w:r>
      <w:r w:rsidRPr="000B0E20">
        <w:rPr>
          <w:rFonts w:ascii="Times New Roman" w:hAnsi="Times New Roman"/>
          <w:sz w:val="28"/>
          <w:szCs w:val="28"/>
          <w:lang w:eastAsia="ru-RU"/>
        </w:rPr>
        <w:t xml:space="preserve">Виконання рішень </w:t>
      </w:r>
      <w:r w:rsidRPr="000B0E20">
        <w:rPr>
          <w:rFonts w:ascii="Times New Roman" w:hAnsi="Times New Roman"/>
          <w:sz w:val="28"/>
          <w:szCs w:val="28"/>
          <w:lang w:eastAsia="ru-RU"/>
        </w:rPr>
        <w:lastRenderedPageBreak/>
        <w:t>Європейського суду з прав людини</w:t>
      </w:r>
      <w:r w:rsidRPr="000B0E20">
        <w:rPr>
          <w:rFonts w:ascii="Times New Roman" w:hAnsi="Times New Roman"/>
          <w:sz w:val="28"/>
          <w:szCs w:val="28"/>
        </w:rPr>
        <w:t>"</w:t>
      </w:r>
      <w:r w:rsidRPr="000B0E20">
        <w:rPr>
          <w:rFonts w:ascii="Times New Roman" w:hAnsi="Times New Roman"/>
          <w:sz w:val="28"/>
          <w:szCs w:val="28"/>
          <w:lang w:eastAsia="ru-RU"/>
        </w:rPr>
        <w:t xml:space="preserve"> зазначається про існування основних системних недоліків, які викликають велику кількість повторюваних висновків щодо порушення Конвенції про захист прав людини і основоположних свобод, що серйозно підривають верховенство права, а щодо України ці проблеми пов’язані, зокрема, із систематичним невиконанням рішень національних судів (пункт 5)</w:t>
      </w:r>
      <w:r w:rsidRPr="000B0E20">
        <w:rPr>
          <w:rFonts w:ascii="Times New Roman" w:hAnsi="Times New Roman"/>
          <w:sz w:val="28"/>
          <w:szCs w:val="28"/>
          <w:lang w:eastAsia="uk-UA"/>
        </w:rPr>
        <w:t>.</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lang w:eastAsia="ru-RU"/>
        </w:rPr>
        <w:t>6. Законопроектом пропонуються зміни до Переліку видів майна</w:t>
      </w:r>
      <w:r w:rsidRPr="000B0E20">
        <w:rPr>
          <w:rFonts w:ascii="Times New Roman" w:hAnsi="Times New Roman"/>
          <w:bCs/>
          <w:sz w:val="28"/>
          <w:szCs w:val="28"/>
          <w:lang w:eastAsia="ru-RU"/>
        </w:rPr>
        <w:t>, на яке не може бути звернено стягнення за виконавчими документами (додаток до Закону України "Про виконавче провадження"),</w:t>
      </w:r>
      <w:r w:rsidRPr="000B0E20">
        <w:rPr>
          <w:rFonts w:ascii="Times New Roman" w:hAnsi="Times New Roman"/>
          <w:sz w:val="28"/>
          <w:szCs w:val="28"/>
          <w:lang w:eastAsia="ru-RU"/>
        </w:rPr>
        <w:t xml:space="preserve"> за якими "н</w:t>
      </w:r>
      <w:r w:rsidRPr="000B0E20">
        <w:rPr>
          <w:rFonts w:ascii="Times New Roman" w:hAnsi="Times New Roman"/>
          <w:sz w:val="28"/>
          <w:szCs w:val="28"/>
        </w:rPr>
        <w:t xml:space="preserve">е може бути звернено стягнення за виконавчими документами на природний газ оператора газосховищ, який використовується для забезпечення власної господарської діяльності (у тому числі для власних виробничо-технічних потреб, покриття витрат та виробничо-технологічних витрат), та на природний газ оператора газотранспортної системи, який використовується для наповнення та забезпечення належного функціонування газотранспортної системи (в тому числі, для власних потреб, виробничо-технологічних витрат, балансування газотранспортної системи)". </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rPr>
        <w:t xml:space="preserve">Надання таких переваг оператору газосховищ, оператору газотранспортної системи порушує принцип рівності суб'єктів господарювання, встановлений статтею 13 Конституції України, а також не враховує конституційних основ правопорядку у сфері господарювання, визначених у статті 5 Господарського кодексу України. </w:t>
      </w:r>
    </w:p>
    <w:p w:rsidR="00E445DE" w:rsidRPr="000B0E20" w:rsidRDefault="00E445DE" w:rsidP="008777B7">
      <w:pPr>
        <w:pStyle w:val="af0"/>
        <w:spacing w:after="120" w:line="288" w:lineRule="auto"/>
        <w:ind w:left="0" w:firstLine="709"/>
        <w:contextualSpacing w:val="0"/>
        <w:jc w:val="both"/>
        <w:rPr>
          <w:rFonts w:ascii="Times New Roman" w:hAnsi="Times New Roman"/>
          <w:sz w:val="28"/>
          <w:szCs w:val="28"/>
        </w:rPr>
      </w:pPr>
      <w:r w:rsidRPr="000B0E20">
        <w:rPr>
          <w:rFonts w:ascii="Times New Roman" w:hAnsi="Times New Roman"/>
          <w:sz w:val="28"/>
          <w:szCs w:val="28"/>
          <w:lang w:eastAsia="ru-RU"/>
        </w:rPr>
        <w:t>7. П</w:t>
      </w:r>
      <w:r w:rsidRPr="000B0E20">
        <w:rPr>
          <w:rFonts w:ascii="Times New Roman" w:hAnsi="Times New Roman"/>
          <w:sz w:val="28"/>
          <w:szCs w:val="28"/>
        </w:rPr>
        <w:t xml:space="preserve">оложення пунктів 1 та 7 розділу II "Прикінцеві та перехідні положення" законопроекту свідчать про відсутність достатніх і завершених механізмів для реалізації положень Закону, у разі його прийняття, оскільки виконання норм </w:t>
      </w:r>
      <w:r w:rsidRPr="000B0E20">
        <w:t>ць</w:t>
      </w:r>
      <w:r w:rsidRPr="000B0E20">
        <w:rPr>
          <w:rFonts w:ascii="Times New Roman" w:hAnsi="Times New Roman"/>
          <w:sz w:val="28"/>
          <w:szCs w:val="28"/>
        </w:rPr>
        <w:t>ого Закону ставиться у залежність від прийняття відповідних підзаконних актів.</w:t>
      </w:r>
    </w:p>
    <w:p w:rsidR="00E445DE" w:rsidRPr="000B0E20" w:rsidRDefault="00E445DE" w:rsidP="008777B7">
      <w:pPr>
        <w:spacing w:after="120" w:line="288" w:lineRule="auto"/>
        <w:ind w:firstLine="709"/>
        <w:jc w:val="both"/>
        <w:rPr>
          <w:rFonts w:ascii="Times New Roman" w:hAnsi="Times New Roman"/>
          <w:sz w:val="28"/>
          <w:szCs w:val="28"/>
        </w:rPr>
      </w:pPr>
      <w:r w:rsidRPr="000B0E20">
        <w:rPr>
          <w:rFonts w:ascii="Times New Roman" w:hAnsi="Times New Roman"/>
          <w:sz w:val="28"/>
          <w:szCs w:val="28"/>
        </w:rPr>
        <w:t>Конституційний Суд України у рішенні від 15 квітня 2020 року № 2-р(</w:t>
      </w:r>
      <w:r w:rsidRPr="000B0E20">
        <w:rPr>
          <w:rFonts w:ascii="Times New Roman" w:hAnsi="Times New Roman"/>
          <w:sz w:val="28"/>
          <w:szCs w:val="28"/>
          <w:lang w:val="en-US"/>
        </w:rPr>
        <w:t>II</w:t>
      </w:r>
      <w:r w:rsidRPr="000B0E20">
        <w:rPr>
          <w:rFonts w:ascii="Times New Roman" w:hAnsi="Times New Roman"/>
          <w:sz w:val="28"/>
          <w:szCs w:val="28"/>
        </w:rPr>
        <w:t>)/2020</w:t>
      </w:r>
      <w:bookmarkStart w:id="3" w:name="n5"/>
      <w:bookmarkEnd w:id="3"/>
      <w:r w:rsidRPr="000B0E20">
        <w:rPr>
          <w:rFonts w:ascii="Times New Roman" w:hAnsi="Times New Roman"/>
          <w:sz w:val="28"/>
          <w:szCs w:val="28"/>
        </w:rPr>
        <w:t xml:space="preserve"> відзначив, що у</w:t>
      </w:r>
      <w:r w:rsidRPr="000B0E20">
        <w:rPr>
          <w:rFonts w:ascii="Times New Roman" w:hAnsi="Times New Roman"/>
          <w:sz w:val="28"/>
          <w:szCs w:val="28"/>
          <w:lang w:eastAsia="uk-UA"/>
        </w:rPr>
        <w:t xml:space="preserve">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 Конституційний Суд України у рішенні від 22 травня 2018 року № 5-р/2018 наголошував, що принцип верховенства права передбачає внесення законодавчих змін із визначенням певного перехідного періоду (розумного часового проміжку між офіційним оприлюдненням закону і набранням ним чинності), який дасть особам час для адаптації до нових обставин; тривалість </w:t>
      </w:r>
      <w:r w:rsidRPr="000B0E20">
        <w:rPr>
          <w:rFonts w:ascii="Times New Roman" w:hAnsi="Times New Roman"/>
          <w:sz w:val="28"/>
          <w:szCs w:val="28"/>
          <w:lang w:eastAsia="uk-UA"/>
        </w:rPr>
        <w:lastRenderedPageBreak/>
        <w:t>перехідного періоду у разі зміни юридичного регулювання суспільних відносин має визначати законодавець у кожній конкретній ситуації з урахуванням таких критеріїв: мети закону в межах правової системи і характеру суспільних відносин, що ним регулюються; кола осіб, до яких застосовуватиметься закон, і їх здатності підготуватися до набрання ним (його новими положеннями) чинності; інших важливих обставин, зокрема тих, що визначають час, необхідний для набрання чинності таким законом (</w:t>
      </w:r>
      <w:hyperlink r:id="rId8" w:anchor="n80" w:tgtFrame="_blank" w:history="1">
        <w:r w:rsidRPr="000B0E20">
          <w:rPr>
            <w:rFonts w:ascii="Times New Roman" w:hAnsi="Times New Roman"/>
            <w:sz w:val="28"/>
            <w:szCs w:val="28"/>
            <w:lang w:eastAsia="uk-UA"/>
          </w:rPr>
          <w:t>абзац п'ятий</w:t>
        </w:r>
      </w:hyperlink>
      <w:r w:rsidRPr="000B0E20">
        <w:rPr>
          <w:rFonts w:ascii="Times New Roman" w:hAnsi="Times New Roman"/>
          <w:sz w:val="28"/>
          <w:szCs w:val="28"/>
          <w:lang w:eastAsia="uk-UA"/>
        </w:rPr>
        <w:t xml:space="preserve"> підпункту 4.1 пункту 4 мотивувальної частини). </w:t>
      </w:r>
      <w:bookmarkStart w:id="4" w:name="n47"/>
      <w:bookmarkEnd w:id="4"/>
      <w:r w:rsidRPr="000B0E20">
        <w:rPr>
          <w:rFonts w:ascii="Times New Roman" w:hAnsi="Times New Roman"/>
          <w:sz w:val="28"/>
          <w:szCs w:val="28"/>
          <w:lang w:eastAsia="uk-UA"/>
        </w:rPr>
        <w:t>Конституційний Суд України виходить з того, що зміни в юридичному регулюванні має бути вчинено так, щоб особи, юридичного статусу яких такі зміни стосуються, мали реальну можливість пристосуватися до нової юридичної ситуації, зокрема, встигли реалізувати певні права (вчинити потрібні дії) у спосіб, встановлений законодавством до внесення відповідних змін.</w:t>
      </w:r>
    </w:p>
    <w:p w:rsidR="00E445DE" w:rsidRPr="000B0E20" w:rsidRDefault="00E445DE" w:rsidP="008777B7">
      <w:pPr>
        <w:spacing w:after="120" w:line="288" w:lineRule="auto"/>
        <w:ind w:firstLine="709"/>
        <w:jc w:val="both"/>
        <w:rPr>
          <w:rFonts w:ascii="Times New Roman" w:hAnsi="Times New Roman"/>
          <w:sz w:val="28"/>
          <w:szCs w:val="28"/>
          <w:lang w:eastAsia="uk-UA"/>
        </w:rPr>
      </w:pPr>
      <w:r w:rsidRPr="000B0E20">
        <w:rPr>
          <w:rFonts w:ascii="Times New Roman" w:hAnsi="Times New Roman"/>
          <w:sz w:val="28"/>
          <w:szCs w:val="28"/>
          <w:shd w:val="clear" w:color="auto" w:fill="FFFFFF"/>
        </w:rPr>
        <w:t>8. В</w:t>
      </w:r>
      <w:r w:rsidRPr="000B0E20">
        <w:rPr>
          <w:rFonts w:ascii="Times New Roman" w:hAnsi="Times New Roman"/>
          <w:sz w:val="28"/>
          <w:szCs w:val="28"/>
        </w:rPr>
        <w:t>ідповідно до пункту 9 цього розділу законопроекту Кабінету Міністрів України доручається у 2022 році поінформувати Верховну Раду України про стан виконання цього Закону.</w:t>
      </w:r>
    </w:p>
    <w:p w:rsidR="00E445DE" w:rsidRPr="000B0E20" w:rsidRDefault="00E445DE" w:rsidP="008777B7">
      <w:pPr>
        <w:pStyle w:val="af0"/>
        <w:spacing w:after="120" w:line="288" w:lineRule="auto"/>
        <w:ind w:left="0" w:firstLine="709"/>
        <w:contextualSpacing w:val="0"/>
        <w:jc w:val="both"/>
        <w:rPr>
          <w:rStyle w:val="st42"/>
          <w:color w:val="auto"/>
          <w:sz w:val="28"/>
          <w:szCs w:val="28"/>
        </w:rPr>
      </w:pPr>
      <w:r w:rsidRPr="000B0E20">
        <w:rPr>
          <w:rFonts w:ascii="Times New Roman" w:hAnsi="Times New Roman"/>
          <w:sz w:val="28"/>
          <w:szCs w:val="28"/>
        </w:rPr>
        <w:t>Підтримуючи необхідність запровадження повноцінного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w:t>
      </w:r>
      <w:r w:rsidRPr="000B0E20">
        <w:rPr>
          <w:rStyle w:val="st42"/>
          <w:color w:val="auto"/>
          <w:sz w:val="28"/>
          <w:szCs w:val="28"/>
        </w:rPr>
        <w:t xml:space="preserve">лише на підставі, в межах повноважень та у спосіб, що передбачені Конституцією та законами України). </w:t>
      </w:r>
    </w:p>
    <w:p w:rsidR="00E445DE" w:rsidRPr="000B0E20" w:rsidRDefault="00E445DE" w:rsidP="008777B7">
      <w:pPr>
        <w:pStyle w:val="af0"/>
        <w:spacing w:after="120" w:line="288" w:lineRule="auto"/>
        <w:ind w:left="0" w:firstLine="709"/>
        <w:contextualSpacing w:val="0"/>
        <w:jc w:val="both"/>
        <w:rPr>
          <w:rFonts w:ascii="Times New Roman" w:hAnsi="Times New Roman"/>
          <w:sz w:val="28"/>
          <w:szCs w:val="28"/>
        </w:rPr>
      </w:pPr>
      <w:r w:rsidRPr="000B0E20">
        <w:rPr>
          <w:rFonts w:ascii="Times New Roman" w:hAnsi="Times New Roman"/>
          <w:sz w:val="28"/>
          <w:szCs w:val="28"/>
        </w:rPr>
        <w:t>Наразі статтею 15 Закону України "Про засади державної регуляторної політики у сфері господарської діяльності" передбачено, що "порядок …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А згідно зі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w:t>
      </w:r>
      <w:r w:rsidR="0076774A">
        <w:rPr>
          <w:rFonts w:ascii="Times New Roman" w:hAnsi="Times New Roman"/>
          <w:sz w:val="28"/>
          <w:szCs w:val="28"/>
        </w:rPr>
        <w:t>’</w:t>
      </w:r>
      <w:r w:rsidRPr="000B0E20">
        <w:rPr>
          <w:rFonts w:ascii="Times New Roman" w:hAnsi="Times New Roman"/>
          <w:sz w:val="28"/>
          <w:szCs w:val="28"/>
        </w:rPr>
        <w:t>єр".</w:t>
      </w:r>
    </w:p>
    <w:p w:rsidR="00E445DE" w:rsidRPr="00E445DE" w:rsidRDefault="00E445DE" w:rsidP="008777B7">
      <w:pPr>
        <w:spacing w:after="120" w:line="288" w:lineRule="auto"/>
        <w:ind w:firstLine="709"/>
        <w:jc w:val="both"/>
        <w:textAlignment w:val="top"/>
        <w:rPr>
          <w:rFonts w:ascii="Times New Roman" w:hAnsi="Times New Roman"/>
          <w:sz w:val="28"/>
          <w:szCs w:val="28"/>
        </w:rPr>
      </w:pPr>
      <w:r w:rsidRPr="000B0E20">
        <w:rPr>
          <w:rFonts w:ascii="Times New Roman" w:hAnsi="Times New Roman"/>
          <w:sz w:val="28"/>
          <w:szCs w:val="28"/>
        </w:rPr>
        <w:t xml:space="preserve">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w:t>
      </w:r>
      <w:r w:rsidRPr="000B0E20">
        <w:rPr>
          <w:rFonts w:ascii="Times New Roman" w:hAnsi="Times New Roman"/>
          <w:sz w:val="28"/>
          <w:szCs w:val="28"/>
        </w:rPr>
        <w:lastRenderedPageBreak/>
        <w:t xml:space="preserve">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пунктом 9 розділу II "Прикінцеві та перехідні положення" </w:t>
      </w:r>
      <w:r w:rsidRPr="00E445DE">
        <w:rPr>
          <w:rFonts w:ascii="Times New Roman" w:hAnsi="Times New Roman"/>
          <w:sz w:val="28"/>
          <w:szCs w:val="28"/>
        </w:rPr>
        <w:t>законопроекту, можливе за умови внесення відповідних змін до згаданих законодавчих актів.</w:t>
      </w:r>
    </w:p>
    <w:p w:rsidR="00E445DE" w:rsidRPr="00E445DE" w:rsidRDefault="00E445DE" w:rsidP="008777B7">
      <w:pPr>
        <w:pStyle w:val="af0"/>
        <w:spacing w:after="120" w:line="288" w:lineRule="auto"/>
        <w:ind w:left="0" w:firstLine="709"/>
        <w:contextualSpacing w:val="0"/>
        <w:jc w:val="both"/>
        <w:rPr>
          <w:rFonts w:ascii="Times New Roman" w:eastAsia="Times" w:hAnsi="Times New Roman"/>
          <w:bCs/>
          <w:sz w:val="28"/>
          <w:szCs w:val="28"/>
          <w:lang w:eastAsia="uk-UA"/>
        </w:rPr>
      </w:pPr>
      <w:r w:rsidRPr="00E445DE">
        <w:rPr>
          <w:rFonts w:ascii="Times New Roman" w:hAnsi="Times New Roman"/>
          <w:sz w:val="28"/>
          <w:szCs w:val="28"/>
        </w:rPr>
        <w:t>9. У цілому, з</w:t>
      </w:r>
      <w:r w:rsidRPr="00E445DE">
        <w:rPr>
          <w:rFonts w:ascii="Times New Roman" w:eastAsia="Times" w:hAnsi="Times New Roman"/>
          <w:bCs/>
          <w:sz w:val="28"/>
          <w:szCs w:val="28"/>
          <w:lang w:eastAsia="uk-UA"/>
        </w:rPr>
        <w:t>аконопроект потребує суттєвого техніко-юридичного і редакційного доопрацювання.</w:t>
      </w:r>
    </w:p>
    <w:p w:rsidR="00E445DE" w:rsidRPr="00E445DE" w:rsidRDefault="00E445DE" w:rsidP="00E445DE">
      <w:pPr>
        <w:pStyle w:val="af0"/>
        <w:spacing w:after="120" w:line="288" w:lineRule="auto"/>
        <w:ind w:left="0" w:firstLine="708"/>
        <w:contextualSpacing w:val="0"/>
        <w:jc w:val="both"/>
        <w:rPr>
          <w:rFonts w:ascii="Times New Roman" w:hAnsi="Times New Roman"/>
          <w:color w:val="000000"/>
          <w:sz w:val="28"/>
          <w:szCs w:val="28"/>
          <w:shd w:val="clear" w:color="auto" w:fill="FFFFFF"/>
        </w:rPr>
      </w:pPr>
    </w:p>
    <w:p w:rsidR="00E445DE" w:rsidRPr="00E445DE" w:rsidRDefault="00E445DE" w:rsidP="00E445DE">
      <w:pPr>
        <w:spacing w:after="120" w:line="288" w:lineRule="auto"/>
        <w:ind w:firstLine="708"/>
        <w:jc w:val="both"/>
        <w:rPr>
          <w:rFonts w:ascii="Times New Roman" w:hAnsi="Times New Roman"/>
          <w:sz w:val="28"/>
          <w:szCs w:val="28"/>
          <w:shd w:val="clear" w:color="auto" w:fill="FFFFFF"/>
        </w:rPr>
      </w:pPr>
      <w:r w:rsidRPr="00E445DE">
        <w:rPr>
          <w:rFonts w:ascii="Times New Roman" w:hAnsi="Times New Roman"/>
          <w:b/>
          <w:sz w:val="28"/>
          <w:szCs w:val="28"/>
        </w:rPr>
        <w:t xml:space="preserve">Узагальнюючий висновок: </w:t>
      </w:r>
      <w:r w:rsidRPr="00E445DE">
        <w:rPr>
          <w:rFonts w:ascii="Times New Roman" w:hAnsi="Times New Roman"/>
          <w:color w:val="000000"/>
          <w:sz w:val="28"/>
          <w:szCs w:val="28"/>
        </w:rPr>
        <w:t xml:space="preserve">законопроект потребує доопрацювання з урахуванням можливостей, передбачених </w:t>
      </w:r>
      <w:r w:rsidRPr="00E445DE">
        <w:rPr>
          <w:rFonts w:ascii="Times New Roman" w:hAnsi="Times New Roman"/>
          <w:color w:val="000000"/>
          <w:sz w:val="28"/>
          <w:szCs w:val="28"/>
          <w:shd w:val="clear" w:color="auto" w:fill="FFFFFF"/>
        </w:rPr>
        <w:t>частиною шостою статті 118 Регламенту Верховної Ради України.</w:t>
      </w:r>
    </w:p>
    <w:p w:rsidR="00E445DE" w:rsidRDefault="00E445DE" w:rsidP="00E445DE">
      <w:pPr>
        <w:pStyle w:val="af0"/>
        <w:spacing w:line="264" w:lineRule="auto"/>
        <w:ind w:left="709"/>
        <w:jc w:val="both"/>
        <w:rPr>
          <w:rFonts w:ascii="Times New Roman" w:hAnsi="Times New Roman"/>
          <w:sz w:val="28"/>
          <w:szCs w:val="28"/>
        </w:rPr>
      </w:pPr>
    </w:p>
    <w:p w:rsidR="00E445DE" w:rsidRDefault="00E445DE" w:rsidP="00E445DE">
      <w:pPr>
        <w:spacing w:after="0"/>
        <w:rPr>
          <w:rFonts w:ascii="Times New Roman" w:hAnsi="Times New Roman"/>
          <w:b/>
          <w:sz w:val="28"/>
          <w:szCs w:val="28"/>
        </w:rPr>
      </w:pPr>
      <w:r>
        <w:rPr>
          <w:rFonts w:ascii="Times New Roman" w:hAnsi="Times New Roman"/>
          <w:b/>
          <w:sz w:val="28"/>
          <w:szCs w:val="28"/>
        </w:rPr>
        <w:t>Заступник керівника</w:t>
      </w:r>
    </w:p>
    <w:p w:rsidR="00E445DE" w:rsidRDefault="00E445DE" w:rsidP="00E445DE">
      <w:pPr>
        <w:tabs>
          <w:tab w:val="left" w:pos="3570"/>
        </w:tabs>
        <w:spacing w:after="120" w:line="240" w:lineRule="auto"/>
        <w:rPr>
          <w:rFonts w:ascii="Times New Roman" w:hAnsi="Times New Roman"/>
          <w:b/>
          <w:bCs/>
          <w:sz w:val="28"/>
        </w:rPr>
      </w:pPr>
      <w:r>
        <w:rPr>
          <w:rFonts w:ascii="Times New Roman" w:hAnsi="Times New Roman"/>
          <w:b/>
          <w:sz w:val="28"/>
          <w:szCs w:val="28"/>
        </w:rPr>
        <w:t xml:space="preserve">Головного управління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008777B7">
        <w:rPr>
          <w:rFonts w:ascii="Times New Roman" w:hAnsi="Times New Roman"/>
          <w:b/>
          <w:sz w:val="28"/>
          <w:szCs w:val="28"/>
        </w:rPr>
        <w:tab/>
      </w:r>
      <w:r>
        <w:rPr>
          <w:rFonts w:ascii="Times New Roman" w:hAnsi="Times New Roman"/>
          <w:b/>
          <w:sz w:val="28"/>
          <w:szCs w:val="28"/>
        </w:rPr>
        <w:t>В. МІЛОВАНОВ</w:t>
      </w:r>
    </w:p>
    <w:p w:rsidR="00480CAD" w:rsidRPr="00E445DE" w:rsidRDefault="00480CAD" w:rsidP="00E445DE"/>
    <w:sectPr w:rsidR="00480CAD" w:rsidRPr="00E445DE" w:rsidSect="00634A7D">
      <w:head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D70" w:rsidRDefault="00B31D70" w:rsidP="005E306B">
      <w:pPr>
        <w:spacing w:after="0" w:line="240" w:lineRule="auto"/>
      </w:pPr>
      <w:r>
        <w:separator/>
      </w:r>
    </w:p>
  </w:endnote>
  <w:endnote w:type="continuationSeparator" w:id="0">
    <w:p w:rsidR="00B31D70" w:rsidRDefault="00B31D7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auto"/>
    <w:pitch w:val="variable"/>
    <w:sig w:usb0="00000203" w:usb1="00000000" w:usb2="00000000" w:usb3="00000000" w:csb0="00000005"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D70" w:rsidRDefault="00B31D70" w:rsidP="005E306B">
      <w:pPr>
        <w:spacing w:after="0" w:line="240" w:lineRule="auto"/>
      </w:pPr>
      <w:r>
        <w:separator/>
      </w:r>
    </w:p>
  </w:footnote>
  <w:footnote w:type="continuationSeparator" w:id="0">
    <w:p w:rsidR="00B31D70" w:rsidRDefault="00B31D7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24"/>
      <w:docPartObj>
        <w:docPartGallery w:val="Page Numbers (Top of Page)"/>
        <w:docPartUnique/>
      </w:docPartObj>
    </w:sdtPr>
    <w:sdtEndPr/>
    <w:sdtContent>
      <w:p w:rsidR="00853F7D" w:rsidRDefault="00853F7D">
        <w:pPr>
          <w:pStyle w:val="a3"/>
          <w:jc w:val="right"/>
        </w:pPr>
        <w:r>
          <w:fldChar w:fldCharType="begin"/>
        </w:r>
        <w:r>
          <w:instrText>PAGE   \* MERGEFORMAT</w:instrText>
        </w:r>
        <w:r>
          <w:fldChar w:fldCharType="separate"/>
        </w:r>
        <w:r w:rsidR="00555BA1">
          <w:rPr>
            <w:noProof/>
          </w:rPr>
          <w:t>11</w:t>
        </w:r>
        <w:r>
          <w:fldChar w:fldCharType="end"/>
        </w:r>
      </w:p>
    </w:sdtContent>
  </w:sdt>
  <w:p w:rsidR="00140AA7" w:rsidRPr="00140AA7" w:rsidRDefault="00140AA7">
    <w:pPr>
      <w:pStyle w:val="a3"/>
      <w:jc w:val="center"/>
      <w:rPr>
        <w:rFonts w:ascii="Times New Roman" w:hAnsi="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51A3"/>
    <w:multiLevelType w:val="hybridMultilevel"/>
    <w:tmpl w:val="E47297DA"/>
    <w:lvl w:ilvl="0" w:tplc="EF287884">
      <w:start w:val="2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548393B"/>
    <w:multiLevelType w:val="hybridMultilevel"/>
    <w:tmpl w:val="726886AE"/>
    <w:lvl w:ilvl="0" w:tplc="F2680BA0">
      <w:start w:val="3"/>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07D77E8C"/>
    <w:multiLevelType w:val="hybridMultilevel"/>
    <w:tmpl w:val="8396808C"/>
    <w:lvl w:ilvl="0" w:tplc="783AA452">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3" w15:restartNumberingAfterBreak="0">
    <w:nsid w:val="080D094C"/>
    <w:multiLevelType w:val="hybridMultilevel"/>
    <w:tmpl w:val="DF40225A"/>
    <w:lvl w:ilvl="0" w:tplc="A18E33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15EC3EE1"/>
    <w:multiLevelType w:val="hybridMultilevel"/>
    <w:tmpl w:val="4A46B3AC"/>
    <w:lvl w:ilvl="0" w:tplc="041046DE">
      <w:start w:val="3"/>
      <w:numFmt w:val="decimal"/>
      <w:lvlText w:val="%1."/>
      <w:lvlJc w:val="left"/>
      <w:pPr>
        <w:ind w:left="1069" w:hanging="360"/>
      </w:pPr>
      <w:rPr>
        <w:rFonts w:cs="Times New Roman" w:hint="default"/>
        <w:color w:val="auto"/>
        <w:sz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7140A1C"/>
    <w:multiLevelType w:val="hybridMultilevel"/>
    <w:tmpl w:val="720A7986"/>
    <w:lvl w:ilvl="0" w:tplc="4C84DC0C">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 w15:restartNumberingAfterBreak="0">
    <w:nsid w:val="1A8E65DC"/>
    <w:multiLevelType w:val="hybridMultilevel"/>
    <w:tmpl w:val="7374B9BC"/>
    <w:lvl w:ilvl="0" w:tplc="0B0C0F76">
      <w:start w:val="1"/>
      <w:numFmt w:val="decimal"/>
      <w:lvlText w:val="%1."/>
      <w:lvlJc w:val="left"/>
      <w:pPr>
        <w:ind w:left="1069" w:hanging="360"/>
      </w:pPr>
      <w:rPr>
        <w:rFonts w:hint="default"/>
        <w:lang w:val="uk-UA"/>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1DA875C2"/>
    <w:multiLevelType w:val="hybridMultilevel"/>
    <w:tmpl w:val="F0AED714"/>
    <w:lvl w:ilvl="0" w:tplc="CC0EE82E">
      <w:start w:val="4"/>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8" w15:restartNumberingAfterBreak="0">
    <w:nsid w:val="20226470"/>
    <w:multiLevelType w:val="hybridMultilevel"/>
    <w:tmpl w:val="0C265916"/>
    <w:lvl w:ilvl="0" w:tplc="ED18326E">
      <w:start w:val="1"/>
      <w:numFmt w:val="decimal"/>
      <w:lvlText w:val="%1."/>
      <w:lvlJc w:val="left"/>
      <w:pPr>
        <w:ind w:left="928" w:hanging="360"/>
      </w:pPr>
    </w:lvl>
    <w:lvl w:ilvl="1" w:tplc="04220019">
      <w:start w:val="1"/>
      <w:numFmt w:val="lowerLetter"/>
      <w:lvlText w:val="%2."/>
      <w:lvlJc w:val="left"/>
      <w:pPr>
        <w:ind w:left="1648" w:hanging="360"/>
      </w:pPr>
    </w:lvl>
    <w:lvl w:ilvl="2" w:tplc="0422001B">
      <w:start w:val="1"/>
      <w:numFmt w:val="lowerRoman"/>
      <w:lvlText w:val="%3."/>
      <w:lvlJc w:val="right"/>
      <w:pPr>
        <w:ind w:left="2368" w:hanging="180"/>
      </w:pPr>
    </w:lvl>
    <w:lvl w:ilvl="3" w:tplc="0422000F">
      <w:start w:val="1"/>
      <w:numFmt w:val="decimal"/>
      <w:lvlText w:val="%4."/>
      <w:lvlJc w:val="left"/>
      <w:pPr>
        <w:ind w:left="3088" w:hanging="360"/>
      </w:pPr>
    </w:lvl>
    <w:lvl w:ilvl="4" w:tplc="04220019">
      <w:start w:val="1"/>
      <w:numFmt w:val="lowerLetter"/>
      <w:lvlText w:val="%5."/>
      <w:lvlJc w:val="left"/>
      <w:pPr>
        <w:ind w:left="3808" w:hanging="360"/>
      </w:pPr>
    </w:lvl>
    <w:lvl w:ilvl="5" w:tplc="0422001B">
      <w:start w:val="1"/>
      <w:numFmt w:val="lowerRoman"/>
      <w:lvlText w:val="%6."/>
      <w:lvlJc w:val="right"/>
      <w:pPr>
        <w:ind w:left="4528" w:hanging="180"/>
      </w:pPr>
    </w:lvl>
    <w:lvl w:ilvl="6" w:tplc="0422000F">
      <w:start w:val="1"/>
      <w:numFmt w:val="decimal"/>
      <w:lvlText w:val="%7."/>
      <w:lvlJc w:val="left"/>
      <w:pPr>
        <w:ind w:left="5248" w:hanging="360"/>
      </w:pPr>
    </w:lvl>
    <w:lvl w:ilvl="7" w:tplc="04220019">
      <w:start w:val="1"/>
      <w:numFmt w:val="lowerLetter"/>
      <w:lvlText w:val="%8."/>
      <w:lvlJc w:val="left"/>
      <w:pPr>
        <w:ind w:left="5968" w:hanging="360"/>
      </w:pPr>
    </w:lvl>
    <w:lvl w:ilvl="8" w:tplc="0422001B">
      <w:start w:val="1"/>
      <w:numFmt w:val="lowerRoman"/>
      <w:lvlText w:val="%9."/>
      <w:lvlJc w:val="right"/>
      <w:pPr>
        <w:ind w:left="6688" w:hanging="180"/>
      </w:pPr>
    </w:lvl>
  </w:abstractNum>
  <w:abstractNum w:abstractNumId="9" w15:restartNumberingAfterBreak="0">
    <w:nsid w:val="2B534C67"/>
    <w:multiLevelType w:val="hybridMultilevel"/>
    <w:tmpl w:val="3222BE28"/>
    <w:lvl w:ilvl="0" w:tplc="9F921E42">
      <w:start w:val="3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30805CE8"/>
    <w:multiLevelType w:val="hybridMultilevel"/>
    <w:tmpl w:val="B53AEF98"/>
    <w:lvl w:ilvl="0" w:tplc="9C92195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36505E0B"/>
    <w:multiLevelType w:val="hybridMultilevel"/>
    <w:tmpl w:val="77081270"/>
    <w:lvl w:ilvl="0" w:tplc="8E7EFEAA">
      <w:start w:val="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3"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4" w15:restartNumberingAfterBreak="0">
    <w:nsid w:val="432C38BF"/>
    <w:multiLevelType w:val="hybridMultilevel"/>
    <w:tmpl w:val="26841A6E"/>
    <w:lvl w:ilvl="0" w:tplc="499A2228">
      <w:start w:val="1"/>
      <w:numFmt w:val="decimal"/>
      <w:lvlText w:val="%1."/>
      <w:lvlJc w:val="left"/>
      <w:pPr>
        <w:ind w:left="1069" w:hanging="360"/>
      </w:pPr>
      <w:rPr>
        <w:rFonts w:cstheme="minorBidi"/>
        <w:b w:val="0"/>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5" w15:restartNumberingAfterBreak="0">
    <w:nsid w:val="473B77DB"/>
    <w:multiLevelType w:val="hybridMultilevel"/>
    <w:tmpl w:val="6F080D82"/>
    <w:lvl w:ilvl="0" w:tplc="4DE0E194">
      <w:start w:val="39"/>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6" w15:restartNumberingAfterBreak="0">
    <w:nsid w:val="4B792275"/>
    <w:multiLevelType w:val="hybridMultilevel"/>
    <w:tmpl w:val="1200C85C"/>
    <w:lvl w:ilvl="0" w:tplc="880A49B4">
      <w:start w:val="1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7" w15:restartNumberingAfterBreak="0">
    <w:nsid w:val="52E97469"/>
    <w:multiLevelType w:val="hybridMultilevel"/>
    <w:tmpl w:val="02BC21E6"/>
    <w:lvl w:ilvl="0" w:tplc="C6343D0C">
      <w:start w:val="1"/>
      <w:numFmt w:val="decimal"/>
      <w:lvlText w:val="%1."/>
      <w:lvlJc w:val="left"/>
      <w:pPr>
        <w:ind w:left="1069" w:hanging="360"/>
      </w:pPr>
      <w:rPr>
        <w:color w:val="000000"/>
        <w:sz w:val="28"/>
        <w:szCs w:val="28"/>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8" w15:restartNumberingAfterBreak="0">
    <w:nsid w:val="5C131275"/>
    <w:multiLevelType w:val="hybridMultilevel"/>
    <w:tmpl w:val="32241CF0"/>
    <w:lvl w:ilvl="0" w:tplc="E050FAB8">
      <w:start w:val="3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5E386459"/>
    <w:multiLevelType w:val="hybridMultilevel"/>
    <w:tmpl w:val="F96AFADE"/>
    <w:lvl w:ilvl="0" w:tplc="BA36570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66547A30"/>
    <w:multiLevelType w:val="hybridMultilevel"/>
    <w:tmpl w:val="93FE229A"/>
    <w:lvl w:ilvl="0" w:tplc="623E5628">
      <w:start w:val="7"/>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abstractNum w:abstractNumId="21" w15:restartNumberingAfterBreak="0">
    <w:nsid w:val="67CB1F5E"/>
    <w:multiLevelType w:val="hybridMultilevel"/>
    <w:tmpl w:val="7FFA0EF2"/>
    <w:lvl w:ilvl="0" w:tplc="F07A042C">
      <w:start w:val="29"/>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2" w15:restartNumberingAfterBreak="0">
    <w:nsid w:val="69006F94"/>
    <w:multiLevelType w:val="hybridMultilevel"/>
    <w:tmpl w:val="B5E0C66A"/>
    <w:lvl w:ilvl="0" w:tplc="346436B2">
      <w:start w:val="37"/>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3" w15:restartNumberingAfterBreak="0">
    <w:nsid w:val="7179001A"/>
    <w:multiLevelType w:val="hybridMultilevel"/>
    <w:tmpl w:val="3DB0EA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72A167A8"/>
    <w:multiLevelType w:val="hybridMultilevel"/>
    <w:tmpl w:val="AE64B0BE"/>
    <w:lvl w:ilvl="0" w:tplc="0F86D37A">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25" w15:restartNumberingAfterBreak="0">
    <w:nsid w:val="759D5EEA"/>
    <w:multiLevelType w:val="hybridMultilevel"/>
    <w:tmpl w:val="E9CCCFCE"/>
    <w:lvl w:ilvl="0" w:tplc="02CE16A4">
      <w:start w:val="2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6" w15:restartNumberingAfterBreak="0">
    <w:nsid w:val="75F50AA4"/>
    <w:multiLevelType w:val="hybridMultilevel"/>
    <w:tmpl w:val="A0600512"/>
    <w:lvl w:ilvl="0" w:tplc="B21C48F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13"/>
  </w:num>
  <w:num w:numId="2">
    <w:abstractNumId w:val="12"/>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26"/>
  </w:num>
  <w:num w:numId="7">
    <w:abstractNumId w:val="23"/>
  </w:num>
  <w:num w:numId="8">
    <w:abstractNumId w:val="0"/>
  </w:num>
  <w:num w:numId="9">
    <w:abstractNumId w:val="18"/>
  </w:num>
  <w:num w:numId="10">
    <w:abstractNumId w:val="25"/>
  </w:num>
  <w:num w:numId="11">
    <w:abstractNumId w:val="21"/>
  </w:num>
  <w:num w:numId="12">
    <w:abstractNumId w:val="22"/>
  </w:num>
  <w:num w:numId="13">
    <w:abstractNumId w:val="9"/>
  </w:num>
  <w:num w:numId="14">
    <w:abstractNumId w:val="15"/>
  </w:num>
  <w:num w:numId="15">
    <w:abstractNumId w:val="11"/>
  </w:num>
  <w:num w:numId="16">
    <w:abstractNumId w:val="20"/>
  </w:num>
  <w:num w:numId="17">
    <w:abstractNumId w:val="16"/>
  </w:num>
  <w:num w:numId="18">
    <w:abstractNumId w:val="1"/>
  </w:num>
  <w:num w:numId="19">
    <w:abstractNumId w:val="6"/>
  </w:num>
  <w:num w:numId="2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9"/>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85E"/>
    <w:rsid w:val="00000B2C"/>
    <w:rsid w:val="000163C3"/>
    <w:rsid w:val="0003690C"/>
    <w:rsid w:val="00043243"/>
    <w:rsid w:val="00080B66"/>
    <w:rsid w:val="0009379A"/>
    <w:rsid w:val="000B6CE8"/>
    <w:rsid w:val="000C4D8C"/>
    <w:rsid w:val="000D37AA"/>
    <w:rsid w:val="000D4422"/>
    <w:rsid w:val="000F1586"/>
    <w:rsid w:val="0011037D"/>
    <w:rsid w:val="00113853"/>
    <w:rsid w:val="00140AA7"/>
    <w:rsid w:val="00141617"/>
    <w:rsid w:val="00156F05"/>
    <w:rsid w:val="00182432"/>
    <w:rsid w:val="00184B3A"/>
    <w:rsid w:val="00184BEC"/>
    <w:rsid w:val="0019108F"/>
    <w:rsid w:val="00193E6D"/>
    <w:rsid w:val="001966F0"/>
    <w:rsid w:val="001A356B"/>
    <w:rsid w:val="001B745E"/>
    <w:rsid w:val="001C3AD6"/>
    <w:rsid w:val="001C75FA"/>
    <w:rsid w:val="001D1645"/>
    <w:rsid w:val="001D1C39"/>
    <w:rsid w:val="001D3C24"/>
    <w:rsid w:val="001D4CC8"/>
    <w:rsid w:val="001D4D50"/>
    <w:rsid w:val="001E24D4"/>
    <w:rsid w:val="00204E8D"/>
    <w:rsid w:val="00235CD7"/>
    <w:rsid w:val="002A5562"/>
    <w:rsid w:val="002A5D4C"/>
    <w:rsid w:val="002B1B77"/>
    <w:rsid w:val="002B5FC1"/>
    <w:rsid w:val="002D0561"/>
    <w:rsid w:val="002E0A18"/>
    <w:rsid w:val="002E31BF"/>
    <w:rsid w:val="002E44DA"/>
    <w:rsid w:val="002F0639"/>
    <w:rsid w:val="002F4311"/>
    <w:rsid w:val="002F5D55"/>
    <w:rsid w:val="00300A15"/>
    <w:rsid w:val="00311B04"/>
    <w:rsid w:val="0034240E"/>
    <w:rsid w:val="003562A8"/>
    <w:rsid w:val="003607EE"/>
    <w:rsid w:val="00375602"/>
    <w:rsid w:val="00375A99"/>
    <w:rsid w:val="00397FFD"/>
    <w:rsid w:val="003A12A2"/>
    <w:rsid w:val="003A5DE5"/>
    <w:rsid w:val="003C5FA9"/>
    <w:rsid w:val="003D1CBA"/>
    <w:rsid w:val="003E5F4E"/>
    <w:rsid w:val="003E6989"/>
    <w:rsid w:val="003F0D1F"/>
    <w:rsid w:val="003F0F80"/>
    <w:rsid w:val="00422A73"/>
    <w:rsid w:val="00451750"/>
    <w:rsid w:val="00453E79"/>
    <w:rsid w:val="004709E9"/>
    <w:rsid w:val="00480CAD"/>
    <w:rsid w:val="00486330"/>
    <w:rsid w:val="00492C8A"/>
    <w:rsid w:val="00494671"/>
    <w:rsid w:val="004948A3"/>
    <w:rsid w:val="004A7D02"/>
    <w:rsid w:val="004B48FD"/>
    <w:rsid w:val="004B67B7"/>
    <w:rsid w:val="004C49A0"/>
    <w:rsid w:val="004C6087"/>
    <w:rsid w:val="004D71ED"/>
    <w:rsid w:val="004E0C67"/>
    <w:rsid w:val="004E4F5C"/>
    <w:rsid w:val="004E5B96"/>
    <w:rsid w:val="004E652D"/>
    <w:rsid w:val="004F4461"/>
    <w:rsid w:val="004F7B8A"/>
    <w:rsid w:val="0050620F"/>
    <w:rsid w:val="00531B76"/>
    <w:rsid w:val="0055005A"/>
    <w:rsid w:val="00554FE5"/>
    <w:rsid w:val="00555BA1"/>
    <w:rsid w:val="0056352F"/>
    <w:rsid w:val="0056353D"/>
    <w:rsid w:val="00566771"/>
    <w:rsid w:val="005A2451"/>
    <w:rsid w:val="005A2701"/>
    <w:rsid w:val="005A4728"/>
    <w:rsid w:val="005B71F5"/>
    <w:rsid w:val="005C688A"/>
    <w:rsid w:val="005D0742"/>
    <w:rsid w:val="005E306B"/>
    <w:rsid w:val="005E4082"/>
    <w:rsid w:val="005F20B5"/>
    <w:rsid w:val="00614DAA"/>
    <w:rsid w:val="00617178"/>
    <w:rsid w:val="006240F0"/>
    <w:rsid w:val="00626A3E"/>
    <w:rsid w:val="00634A7D"/>
    <w:rsid w:val="00641B97"/>
    <w:rsid w:val="00662042"/>
    <w:rsid w:val="0066623D"/>
    <w:rsid w:val="006A56C7"/>
    <w:rsid w:val="006A6BA6"/>
    <w:rsid w:val="006C7A99"/>
    <w:rsid w:val="006D30A5"/>
    <w:rsid w:val="006F10E8"/>
    <w:rsid w:val="006F186F"/>
    <w:rsid w:val="006F45A8"/>
    <w:rsid w:val="00713E93"/>
    <w:rsid w:val="007167DA"/>
    <w:rsid w:val="0073224C"/>
    <w:rsid w:val="0073657E"/>
    <w:rsid w:val="007370CD"/>
    <w:rsid w:val="00751BF1"/>
    <w:rsid w:val="0076774A"/>
    <w:rsid w:val="007729E4"/>
    <w:rsid w:val="007B061D"/>
    <w:rsid w:val="007B48EC"/>
    <w:rsid w:val="007C4D25"/>
    <w:rsid w:val="007D0726"/>
    <w:rsid w:val="007D6277"/>
    <w:rsid w:val="007D77AC"/>
    <w:rsid w:val="007F5D91"/>
    <w:rsid w:val="008041AC"/>
    <w:rsid w:val="008048A2"/>
    <w:rsid w:val="0080545D"/>
    <w:rsid w:val="00811E1E"/>
    <w:rsid w:val="008208AF"/>
    <w:rsid w:val="00853F7D"/>
    <w:rsid w:val="008777B7"/>
    <w:rsid w:val="00883F82"/>
    <w:rsid w:val="008C61E6"/>
    <w:rsid w:val="008F1912"/>
    <w:rsid w:val="008F3C39"/>
    <w:rsid w:val="00900F8C"/>
    <w:rsid w:val="009205C1"/>
    <w:rsid w:val="009413B7"/>
    <w:rsid w:val="00944594"/>
    <w:rsid w:val="00945B68"/>
    <w:rsid w:val="00957D31"/>
    <w:rsid w:val="009835C8"/>
    <w:rsid w:val="009856BA"/>
    <w:rsid w:val="009908C1"/>
    <w:rsid w:val="009A720A"/>
    <w:rsid w:val="009B318E"/>
    <w:rsid w:val="009C0077"/>
    <w:rsid w:val="009C2341"/>
    <w:rsid w:val="009C75A2"/>
    <w:rsid w:val="00A00059"/>
    <w:rsid w:val="00A074FC"/>
    <w:rsid w:val="00A301F3"/>
    <w:rsid w:val="00A55970"/>
    <w:rsid w:val="00A833C8"/>
    <w:rsid w:val="00AD7F82"/>
    <w:rsid w:val="00AE26E7"/>
    <w:rsid w:val="00B02017"/>
    <w:rsid w:val="00B31D70"/>
    <w:rsid w:val="00B569E4"/>
    <w:rsid w:val="00B57ED1"/>
    <w:rsid w:val="00B70394"/>
    <w:rsid w:val="00B74B84"/>
    <w:rsid w:val="00B77503"/>
    <w:rsid w:val="00B803BC"/>
    <w:rsid w:val="00B90AD0"/>
    <w:rsid w:val="00BB10E8"/>
    <w:rsid w:val="00BD0801"/>
    <w:rsid w:val="00BE47D0"/>
    <w:rsid w:val="00BE70CC"/>
    <w:rsid w:val="00BF1E95"/>
    <w:rsid w:val="00C11FB6"/>
    <w:rsid w:val="00C27AE9"/>
    <w:rsid w:val="00C34B39"/>
    <w:rsid w:val="00C60F8F"/>
    <w:rsid w:val="00C656DB"/>
    <w:rsid w:val="00CB5D1F"/>
    <w:rsid w:val="00CB7B69"/>
    <w:rsid w:val="00CC39A1"/>
    <w:rsid w:val="00CD4A38"/>
    <w:rsid w:val="00CE3E1B"/>
    <w:rsid w:val="00CE6A4B"/>
    <w:rsid w:val="00CE73DE"/>
    <w:rsid w:val="00CF58AB"/>
    <w:rsid w:val="00D02F61"/>
    <w:rsid w:val="00D059F4"/>
    <w:rsid w:val="00D242C2"/>
    <w:rsid w:val="00D3575A"/>
    <w:rsid w:val="00D423C8"/>
    <w:rsid w:val="00D468B9"/>
    <w:rsid w:val="00D57E1B"/>
    <w:rsid w:val="00DD6C75"/>
    <w:rsid w:val="00E221CE"/>
    <w:rsid w:val="00E33A51"/>
    <w:rsid w:val="00E445DE"/>
    <w:rsid w:val="00E50354"/>
    <w:rsid w:val="00E539DD"/>
    <w:rsid w:val="00E6247F"/>
    <w:rsid w:val="00E821B7"/>
    <w:rsid w:val="00E86360"/>
    <w:rsid w:val="00E91621"/>
    <w:rsid w:val="00EA12FD"/>
    <w:rsid w:val="00EC48A6"/>
    <w:rsid w:val="00EE2B41"/>
    <w:rsid w:val="00EF4B90"/>
    <w:rsid w:val="00F01A33"/>
    <w:rsid w:val="00F22095"/>
    <w:rsid w:val="00F24FF8"/>
    <w:rsid w:val="00F44513"/>
    <w:rsid w:val="00F45803"/>
    <w:rsid w:val="00F55423"/>
    <w:rsid w:val="00F6174E"/>
    <w:rsid w:val="00F73A2B"/>
    <w:rsid w:val="00F84FC7"/>
    <w:rsid w:val="00F91DD3"/>
    <w:rsid w:val="00FA4893"/>
    <w:rsid w:val="00FA6812"/>
    <w:rsid w:val="00FC3DF4"/>
    <w:rsid w:val="00FE1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C1E6FC9"/>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2">
    <w:name w:val="heading 2"/>
    <w:basedOn w:val="a"/>
    <w:next w:val="a"/>
    <w:link w:val="20"/>
    <w:semiHidden/>
    <w:unhideWhenUsed/>
    <w:qFormat/>
    <w:locked/>
    <w:rsid w:val="00CE73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641B97"/>
    <w:pPr>
      <w:keepNext/>
      <w:spacing w:before="240" w:after="60" w:line="360" w:lineRule="auto"/>
      <w:ind w:firstLine="709"/>
      <w:jc w:val="both"/>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customStyle="1" w:styleId="st24">
    <w:name w:val="st24"/>
    <w:uiPriority w:val="99"/>
    <w:rsid w:val="006A6BA6"/>
    <w:rPr>
      <w:rFonts w:ascii="Times New Roman" w:hAnsi="Times New Roman" w:cs="Times New Roman" w:hint="default"/>
      <w:b/>
      <w:bCs/>
      <w:color w:val="000000"/>
      <w:sz w:val="32"/>
      <w:szCs w:val="32"/>
    </w:rPr>
  </w:style>
  <w:style w:type="character" w:customStyle="1" w:styleId="30">
    <w:name w:val="Заголовок 3 Знак"/>
    <w:basedOn w:val="a0"/>
    <w:link w:val="3"/>
    <w:semiHidden/>
    <w:rsid w:val="00641B97"/>
    <w:rPr>
      <w:rFonts w:ascii="Arial" w:eastAsia="Times New Roman" w:hAnsi="Arial" w:cs="Arial"/>
      <w:b/>
      <w:bCs/>
      <w:sz w:val="26"/>
      <w:szCs w:val="26"/>
      <w:lang w:val="uk-UA" w:eastAsia="ru-RU"/>
    </w:rPr>
  </w:style>
  <w:style w:type="paragraph" w:styleId="af1">
    <w:name w:val="Normal (Web)"/>
    <w:basedOn w:val="a"/>
    <w:semiHidden/>
    <w:unhideWhenUsed/>
    <w:rsid w:val="00641B97"/>
    <w:pPr>
      <w:spacing w:before="100" w:beforeAutospacing="1" w:after="100" w:afterAutospacing="1" w:line="240" w:lineRule="auto"/>
    </w:pPr>
    <w:rPr>
      <w:rFonts w:ascii="Times New Roman" w:eastAsia="Times New Roman" w:hAnsi="Times New Roman"/>
      <w:color w:val="000000"/>
      <w:sz w:val="24"/>
      <w:szCs w:val="24"/>
      <w:lang w:val="ru-RU" w:eastAsia="ru-RU"/>
    </w:rPr>
  </w:style>
  <w:style w:type="character" w:customStyle="1" w:styleId="st101">
    <w:name w:val="st101"/>
    <w:uiPriority w:val="99"/>
    <w:rsid w:val="00641B97"/>
    <w:rPr>
      <w:rFonts w:ascii="Times New Roman" w:hAnsi="Times New Roman" w:cs="Times New Roman" w:hint="default"/>
      <w:b/>
      <w:bCs/>
      <w:color w:val="000000"/>
    </w:rPr>
  </w:style>
  <w:style w:type="paragraph" w:styleId="21">
    <w:name w:val="Body Text 2"/>
    <w:basedOn w:val="a"/>
    <w:link w:val="22"/>
    <w:unhideWhenUsed/>
    <w:rsid w:val="00422A73"/>
    <w:pPr>
      <w:spacing w:after="120" w:line="480" w:lineRule="auto"/>
    </w:pPr>
  </w:style>
  <w:style w:type="character" w:customStyle="1" w:styleId="22">
    <w:name w:val="Основний текст 2 Знак"/>
    <w:basedOn w:val="a0"/>
    <w:link w:val="21"/>
    <w:rsid w:val="00422A73"/>
    <w:rPr>
      <w:lang w:val="uk-UA"/>
    </w:rPr>
  </w:style>
  <w:style w:type="paragraph" w:customStyle="1" w:styleId="ParagraphStyle">
    <w:name w:val="Paragraph Style"/>
    <w:rsid w:val="00422A73"/>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422A73"/>
    <w:rPr>
      <w:color w:val="000000"/>
      <w:sz w:val="20"/>
      <w:szCs w:val="20"/>
    </w:rPr>
  </w:style>
  <w:style w:type="paragraph" w:customStyle="1" w:styleId="st2">
    <w:name w:val="st2"/>
    <w:uiPriority w:val="99"/>
    <w:rsid w:val="00422A73"/>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96">
    <w:name w:val="st96"/>
    <w:uiPriority w:val="99"/>
    <w:rsid w:val="00422A73"/>
    <w:rPr>
      <w:rFonts w:ascii="Times New Roman" w:hAnsi="Times New Roman" w:cs="Times New Roman"/>
      <w:color w:val="0000FF"/>
    </w:rPr>
  </w:style>
  <w:style w:type="character" w:customStyle="1" w:styleId="rvts0">
    <w:name w:val="rvts0"/>
    <w:basedOn w:val="a0"/>
    <w:rsid w:val="00422A73"/>
  </w:style>
  <w:style w:type="character" w:styleId="af2">
    <w:name w:val="Hyperlink"/>
    <w:uiPriority w:val="99"/>
    <w:semiHidden/>
    <w:unhideWhenUsed/>
    <w:rsid w:val="00422A73"/>
    <w:rPr>
      <w:color w:val="0000FF"/>
      <w:u w:val="single"/>
    </w:rPr>
  </w:style>
  <w:style w:type="paragraph" w:styleId="af3">
    <w:name w:val="No Spacing"/>
    <w:uiPriority w:val="1"/>
    <w:qFormat/>
    <w:rsid w:val="00422A73"/>
    <w:rPr>
      <w:rFonts w:ascii="Times New Roman" w:eastAsia="Times New Roman" w:hAnsi="Times New Roman"/>
      <w:sz w:val="28"/>
      <w:lang w:val="ru-RU"/>
    </w:rPr>
  </w:style>
  <w:style w:type="paragraph" w:customStyle="1" w:styleId="st0">
    <w:name w:val="st0"/>
    <w:rsid w:val="00422A73"/>
    <w:pPr>
      <w:autoSpaceDE w:val="0"/>
      <w:autoSpaceDN w:val="0"/>
      <w:adjustRightInd w:val="0"/>
      <w:spacing w:after="150"/>
      <w:ind w:left="450"/>
      <w:jc w:val="both"/>
    </w:pPr>
    <w:rPr>
      <w:rFonts w:ascii="Courier New" w:eastAsiaTheme="minorHAnsi" w:hAnsi="Courier New" w:cs="Courier New"/>
      <w:sz w:val="24"/>
      <w:szCs w:val="24"/>
      <w:lang w:val="ru-RU"/>
    </w:rPr>
  </w:style>
  <w:style w:type="character" w:customStyle="1" w:styleId="st44">
    <w:name w:val="st44"/>
    <w:uiPriority w:val="99"/>
    <w:rsid w:val="00422A73"/>
    <w:rPr>
      <w:rFonts w:ascii="Times New Roman" w:hAnsi="Times New Roman" w:cs="Times New Roman"/>
      <w:b/>
      <w:bCs/>
      <w:color w:val="000000"/>
    </w:rPr>
  </w:style>
  <w:style w:type="paragraph" w:customStyle="1" w:styleId="af4">
    <w:name w:val="Ігор"/>
    <w:basedOn w:val="a"/>
    <w:rsid w:val="00397FFD"/>
    <w:pPr>
      <w:autoSpaceDE w:val="0"/>
      <w:autoSpaceDN w:val="0"/>
      <w:spacing w:before="120" w:after="0" w:line="240" w:lineRule="auto"/>
      <w:ind w:firstLine="567"/>
      <w:jc w:val="both"/>
    </w:pPr>
    <w:rPr>
      <w:rFonts w:ascii="Times New Roman" w:eastAsia="Times New Roman" w:hAnsi="Times New Roman"/>
      <w:sz w:val="28"/>
      <w:szCs w:val="26"/>
      <w:lang w:eastAsia="ru-RU"/>
    </w:rPr>
  </w:style>
  <w:style w:type="character" w:customStyle="1" w:styleId="20">
    <w:name w:val="Заголовок 2 Знак"/>
    <w:basedOn w:val="a0"/>
    <w:link w:val="2"/>
    <w:semiHidden/>
    <w:rsid w:val="00CE73DE"/>
    <w:rPr>
      <w:rFonts w:asciiTheme="majorHAnsi" w:eastAsiaTheme="majorEastAsia" w:hAnsiTheme="majorHAnsi" w:cstheme="majorBidi"/>
      <w:color w:val="365F91" w:themeColor="accent1" w:themeShade="BF"/>
      <w:sz w:val="26"/>
      <w:szCs w:val="26"/>
      <w:lang w:val="uk-UA"/>
    </w:rPr>
  </w:style>
  <w:style w:type="paragraph" w:customStyle="1" w:styleId="af5">
    <w:name w:val="Нормальний текст"/>
    <w:basedOn w:val="a"/>
    <w:rsid w:val="006A56C7"/>
    <w:pPr>
      <w:spacing w:before="120" w:after="0" w:line="240" w:lineRule="auto"/>
      <w:ind w:firstLine="567"/>
      <w:jc w:val="both"/>
    </w:pPr>
    <w:rPr>
      <w:rFonts w:ascii="Antiqua" w:eastAsia="Times New Roman" w:hAnsi="Antiqua"/>
      <w:sz w:val="26"/>
      <w:szCs w:val="20"/>
      <w:lang w:eastAsia="ru-RU"/>
    </w:rPr>
  </w:style>
  <w:style w:type="character" w:customStyle="1" w:styleId="31">
    <w:name w:val="Основной текст (3)_"/>
    <w:rsid w:val="0011037D"/>
    <w:rPr>
      <w:b/>
      <w:bCs w:val="0"/>
      <w:sz w:val="25"/>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1296">
      <w:bodyDiv w:val="1"/>
      <w:marLeft w:val="0"/>
      <w:marRight w:val="0"/>
      <w:marTop w:val="0"/>
      <w:marBottom w:val="0"/>
      <w:divBdr>
        <w:top w:val="none" w:sz="0" w:space="0" w:color="auto"/>
        <w:left w:val="none" w:sz="0" w:space="0" w:color="auto"/>
        <w:bottom w:val="none" w:sz="0" w:space="0" w:color="auto"/>
        <w:right w:val="none" w:sz="0" w:space="0" w:color="auto"/>
      </w:divBdr>
    </w:div>
    <w:div w:id="83187787">
      <w:bodyDiv w:val="1"/>
      <w:marLeft w:val="0"/>
      <w:marRight w:val="0"/>
      <w:marTop w:val="0"/>
      <w:marBottom w:val="0"/>
      <w:divBdr>
        <w:top w:val="none" w:sz="0" w:space="0" w:color="auto"/>
        <w:left w:val="none" w:sz="0" w:space="0" w:color="auto"/>
        <w:bottom w:val="none" w:sz="0" w:space="0" w:color="auto"/>
        <w:right w:val="none" w:sz="0" w:space="0" w:color="auto"/>
      </w:divBdr>
    </w:div>
    <w:div w:id="291905762">
      <w:bodyDiv w:val="1"/>
      <w:marLeft w:val="0"/>
      <w:marRight w:val="0"/>
      <w:marTop w:val="0"/>
      <w:marBottom w:val="0"/>
      <w:divBdr>
        <w:top w:val="none" w:sz="0" w:space="0" w:color="auto"/>
        <w:left w:val="none" w:sz="0" w:space="0" w:color="auto"/>
        <w:bottom w:val="none" w:sz="0" w:space="0" w:color="auto"/>
        <w:right w:val="none" w:sz="0" w:space="0" w:color="auto"/>
      </w:divBdr>
    </w:div>
    <w:div w:id="349647859">
      <w:bodyDiv w:val="1"/>
      <w:marLeft w:val="0"/>
      <w:marRight w:val="0"/>
      <w:marTop w:val="0"/>
      <w:marBottom w:val="0"/>
      <w:divBdr>
        <w:top w:val="none" w:sz="0" w:space="0" w:color="auto"/>
        <w:left w:val="none" w:sz="0" w:space="0" w:color="auto"/>
        <w:bottom w:val="none" w:sz="0" w:space="0" w:color="auto"/>
        <w:right w:val="none" w:sz="0" w:space="0" w:color="auto"/>
      </w:divBdr>
    </w:div>
    <w:div w:id="441726709">
      <w:bodyDiv w:val="1"/>
      <w:marLeft w:val="0"/>
      <w:marRight w:val="0"/>
      <w:marTop w:val="0"/>
      <w:marBottom w:val="0"/>
      <w:divBdr>
        <w:top w:val="none" w:sz="0" w:space="0" w:color="auto"/>
        <w:left w:val="none" w:sz="0" w:space="0" w:color="auto"/>
        <w:bottom w:val="none" w:sz="0" w:space="0" w:color="auto"/>
        <w:right w:val="none" w:sz="0" w:space="0" w:color="auto"/>
      </w:divBdr>
    </w:div>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93749798">
      <w:bodyDiv w:val="1"/>
      <w:marLeft w:val="0"/>
      <w:marRight w:val="0"/>
      <w:marTop w:val="0"/>
      <w:marBottom w:val="0"/>
      <w:divBdr>
        <w:top w:val="none" w:sz="0" w:space="0" w:color="auto"/>
        <w:left w:val="none" w:sz="0" w:space="0" w:color="auto"/>
        <w:bottom w:val="none" w:sz="0" w:space="0" w:color="auto"/>
        <w:right w:val="none" w:sz="0" w:space="0" w:color="auto"/>
      </w:divBdr>
    </w:div>
    <w:div w:id="1422485100">
      <w:bodyDiv w:val="1"/>
      <w:marLeft w:val="0"/>
      <w:marRight w:val="0"/>
      <w:marTop w:val="0"/>
      <w:marBottom w:val="0"/>
      <w:divBdr>
        <w:top w:val="none" w:sz="0" w:space="0" w:color="auto"/>
        <w:left w:val="none" w:sz="0" w:space="0" w:color="auto"/>
        <w:bottom w:val="none" w:sz="0" w:space="0" w:color="auto"/>
        <w:right w:val="none" w:sz="0" w:space="0" w:color="auto"/>
      </w:divBdr>
    </w:div>
    <w:div w:id="2055931268">
      <w:bodyDiv w:val="1"/>
      <w:marLeft w:val="0"/>
      <w:marRight w:val="0"/>
      <w:marTop w:val="0"/>
      <w:marBottom w:val="0"/>
      <w:divBdr>
        <w:top w:val="none" w:sz="0" w:space="0" w:color="auto"/>
        <w:left w:val="none" w:sz="0" w:space="0" w:color="auto"/>
        <w:bottom w:val="none" w:sz="0" w:space="0" w:color="auto"/>
        <w:right w:val="none" w:sz="0" w:space="0" w:color="auto"/>
      </w:divBdr>
    </w:div>
    <w:div w:id="207782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v005p710-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657FD-F59A-435C-B26E-3B0A5A964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15040</Words>
  <Characters>8573</Characters>
  <Application>Microsoft Office Word</Application>
  <DocSecurity>0</DocSecurity>
  <Lines>71</Lines>
  <Paragraphs>47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Радченко Олег Вікторович</cp:lastModifiedBy>
  <cp:revision>5</cp:revision>
  <cp:lastPrinted>2021-07-07T08:10:00Z</cp:lastPrinted>
  <dcterms:created xsi:type="dcterms:W3CDTF">2021-07-12T16:15:00Z</dcterms:created>
  <dcterms:modified xsi:type="dcterms:W3CDTF">2021-07-14T09:41:00Z</dcterms:modified>
</cp:coreProperties>
</file>