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E0374" w:rsidRDefault="00850B7A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1" w:hanging="3"/>
        <w:jc w:val="center"/>
        <w:rPr>
          <w:rFonts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cs="Times New Roman"/>
          <w:b/>
          <w:color w:val="000000"/>
          <w:sz w:val="28"/>
          <w:szCs w:val="28"/>
        </w:rPr>
        <w:t>ПОЯСНЮВАЛЬНА ЗАПИСКА</w:t>
      </w:r>
    </w:p>
    <w:p w14:paraId="00000002" w14:textId="77777777" w:rsidR="008E0374" w:rsidRDefault="00850B7A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1" w:hanging="3"/>
        <w:jc w:val="center"/>
        <w:rPr>
          <w:rFonts w:cs="Times New Roman"/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rFonts w:cs="Times New Roman"/>
          <w:b/>
          <w:color w:val="000000"/>
          <w:sz w:val="28"/>
          <w:szCs w:val="28"/>
        </w:rPr>
        <w:t>до проекту Закону України «Про авторське право і суміжні права»</w:t>
      </w:r>
    </w:p>
    <w:p w14:paraId="00000003" w14:textId="77777777" w:rsidR="008E0374" w:rsidRDefault="008E0374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1" w:hanging="3"/>
        <w:jc w:val="center"/>
        <w:rPr>
          <w:rFonts w:cs="Times New Roman"/>
          <w:color w:val="000000"/>
          <w:sz w:val="28"/>
          <w:szCs w:val="28"/>
        </w:rPr>
      </w:pPr>
    </w:p>
    <w:p w14:paraId="00000004" w14:textId="60E0A115" w:rsidR="008E0374" w:rsidRPr="00EB3040" w:rsidRDefault="007401DF" w:rsidP="007401D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-2" w:right="-2" w:firstLineChars="0" w:firstLine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  <w:lang w:val="uk-UA"/>
        </w:rPr>
        <w:t xml:space="preserve">1. </w:t>
      </w:r>
      <w:r w:rsidR="00850B7A">
        <w:rPr>
          <w:rFonts w:cs="Times New Roman"/>
          <w:b/>
          <w:color w:val="000000"/>
          <w:sz w:val="28"/>
          <w:szCs w:val="28"/>
        </w:rPr>
        <w:t>Обґрунтування необхідності прийняття законопроекту</w:t>
      </w:r>
    </w:p>
    <w:p w14:paraId="540729AA" w14:textId="77777777" w:rsidR="00EB3040" w:rsidRDefault="00EB3040" w:rsidP="00EB30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right="-2" w:firstLineChars="0" w:firstLine="0"/>
        <w:jc w:val="both"/>
        <w:rPr>
          <w:rFonts w:cs="Times New Roman"/>
          <w:color w:val="000000"/>
          <w:sz w:val="28"/>
          <w:szCs w:val="28"/>
        </w:rPr>
      </w:pPr>
    </w:p>
    <w:p w14:paraId="00000005" w14:textId="7980F8B0" w:rsidR="008E0374" w:rsidRDefault="00EB304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bookmarkStart w:id="2" w:name="_heading=h.30j0zll" w:colFirst="0" w:colLast="0"/>
      <w:bookmarkEnd w:id="2"/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 w:rsidR="00850B7A">
        <w:rPr>
          <w:rFonts w:cs="Times New Roman"/>
          <w:sz w:val="28"/>
          <w:szCs w:val="28"/>
        </w:rPr>
        <w:t>Розвиток науково-технічного прогресу, поява нових можливостей для відтворення та введення у цивільний оборот результатів творчої діяльності у сфері авторського права і суміжних прав зумовлює внесення відпов</w:t>
      </w:r>
      <w:r>
        <w:rPr>
          <w:rFonts w:cs="Times New Roman"/>
          <w:sz w:val="28"/>
          <w:szCs w:val="28"/>
        </w:rPr>
        <w:t>ідних змін у чинне законодавство</w:t>
      </w:r>
      <w:r w:rsidR="00850B7A">
        <w:rPr>
          <w:rFonts w:cs="Times New Roman"/>
          <w:sz w:val="28"/>
          <w:szCs w:val="28"/>
        </w:rPr>
        <w:t xml:space="preserve">, зокрема з метою ведення обліку оригінальних цифрових творів. Проблеми, що виникають на практиці в сфері управління авторськими та суміжними правами, а також неможливість забезпечення реалізації деяких з таких прав, наприклад права слідування, потребує додаткового правового регулювання та запозичення в українське законодавство передового досвіду зарубіжних країн. </w:t>
      </w:r>
    </w:p>
    <w:p w14:paraId="00000006" w14:textId="143E0B40" w:rsidR="008E0374" w:rsidRDefault="00850B7A" w:rsidP="00EB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Крім </w:t>
      </w:r>
      <w:r>
        <w:rPr>
          <w:rFonts w:cs="Times New Roman"/>
          <w:sz w:val="28"/>
          <w:szCs w:val="28"/>
        </w:rPr>
        <w:t>цього, законодавство про авторське право і суміжні права потребує свого оно</w:t>
      </w:r>
      <w:r w:rsidR="00EB3040">
        <w:rPr>
          <w:rFonts w:cs="Times New Roman"/>
          <w:sz w:val="28"/>
          <w:szCs w:val="28"/>
        </w:rPr>
        <w:t>влення в аспекті взятих Україною</w:t>
      </w:r>
      <w:r>
        <w:rPr>
          <w:rFonts w:cs="Times New Roman"/>
          <w:sz w:val="28"/>
          <w:szCs w:val="28"/>
        </w:rPr>
        <w:t xml:space="preserve"> зобов’язань </w:t>
      </w:r>
      <w:r>
        <w:rPr>
          <w:rFonts w:cs="Times New Roman"/>
          <w:color w:val="000000"/>
          <w:sz w:val="28"/>
          <w:szCs w:val="28"/>
        </w:rPr>
        <w:t xml:space="preserve">з імплементації норм права ЄС щодо авторського права і суміжних прав </w:t>
      </w:r>
      <w:r>
        <w:rPr>
          <w:rFonts w:cs="Times New Roman"/>
          <w:sz w:val="28"/>
          <w:szCs w:val="28"/>
        </w:rPr>
        <w:t>відповідно до</w:t>
      </w:r>
      <w:r>
        <w:rPr>
          <w:rFonts w:cs="Times New Roman"/>
          <w:color w:val="000000"/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 державами-членами, з іншої сторони. </w:t>
      </w:r>
    </w:p>
    <w:p w14:paraId="00000007" w14:textId="3CEA661E" w:rsidR="008E0374" w:rsidRDefault="00850B7A" w:rsidP="00EB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 урахування</w:t>
      </w:r>
      <w:r w:rsidR="000F1308">
        <w:rPr>
          <w:rFonts w:cs="Times New Roman"/>
          <w:sz w:val="28"/>
          <w:szCs w:val="28"/>
        </w:rPr>
        <w:t>м викладеного представлений прое</w:t>
      </w:r>
      <w:r>
        <w:rPr>
          <w:rFonts w:cs="Times New Roman"/>
          <w:sz w:val="28"/>
          <w:szCs w:val="28"/>
        </w:rPr>
        <w:t>кт Закону України «Про авторське право і суміжні права» (далі – проект Закону) розроблено на виконання статей 157-192 Глави 9 «</w:t>
      </w:r>
      <w:r>
        <w:rPr>
          <w:rFonts w:cs="Times New Roman"/>
          <w:sz w:val="28"/>
          <w:szCs w:val="28"/>
          <w:highlight w:val="white"/>
        </w:rPr>
        <w:t>Інтелектуальна власність</w:t>
      </w:r>
      <w:r>
        <w:rPr>
          <w:rFonts w:cs="Times New Roman"/>
          <w:sz w:val="28"/>
          <w:szCs w:val="28"/>
        </w:rPr>
        <w:t>» Розділу IV У</w:t>
      </w:r>
      <w:r w:rsidR="00CC63FE">
        <w:rPr>
          <w:rFonts w:cs="Times New Roman"/>
          <w:sz w:val="28"/>
          <w:szCs w:val="28"/>
        </w:rPr>
        <w:t>годи про асоціацію з метою удос</w:t>
      </w:r>
      <w:r>
        <w:rPr>
          <w:rFonts w:cs="Times New Roman"/>
          <w:sz w:val="28"/>
          <w:szCs w:val="28"/>
        </w:rPr>
        <w:t>к</w:t>
      </w:r>
      <w:r w:rsidR="00CC63FE">
        <w:rPr>
          <w:rFonts w:cs="Times New Roman"/>
          <w:sz w:val="28"/>
          <w:szCs w:val="28"/>
          <w:lang w:val="uk-UA"/>
        </w:rPr>
        <w:t>о</w:t>
      </w:r>
      <w:r>
        <w:rPr>
          <w:rFonts w:cs="Times New Roman"/>
          <w:sz w:val="28"/>
          <w:szCs w:val="28"/>
        </w:rPr>
        <w:t xml:space="preserve">налення положень чинного законодавства України щодо забезпечення надійної правової охорони авторського права і суміжних прав. </w:t>
      </w:r>
    </w:p>
    <w:p w14:paraId="00000008" w14:textId="77777777" w:rsidR="008E0374" w:rsidRDefault="00850B7A" w:rsidP="000F130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bookmarkStart w:id="3" w:name="_heading=h.1fob9te" w:colFirst="0" w:colLast="0"/>
      <w:bookmarkEnd w:id="3"/>
      <w:r>
        <w:rPr>
          <w:rFonts w:cs="Times New Roman"/>
          <w:color w:val="000000"/>
          <w:sz w:val="28"/>
          <w:szCs w:val="28"/>
        </w:rPr>
        <w:t>Проект Закону передбачає імплементацію в національне законодавство наступних актів законодавства ЄС:</w:t>
      </w:r>
    </w:p>
    <w:p w14:paraId="00000009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- Директива 93/83/ЄС Європейського Парламенту та Ради від 27 вересня 1993 року про узгодження деяких положень авторського права і суміжних прав та застосування їх до супутникового мовлення і кабельної ретрансляції (Офіційний вісник ЄС, L 248, 6 жовтня 1993 р., с. 15-21);</w:t>
      </w:r>
    </w:p>
    <w:p w14:paraId="0000000A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- Директива 96/9/ЄС Європейського Парламенту та Ради від 11 березня 1996 року про правову охорону баз даних (Офіційний вісник ЄС, L 77, 27 березня 1996 р., с. 20-28);</w:t>
      </w:r>
    </w:p>
    <w:p w14:paraId="0000000B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- Директива 2001/29/ЄС Європейського Парламенту та Ради від 22 травня 2001 року про гармонізацію певних аспектів авторського права та суміжних прав у інформаційному суспільстві (офіційний вісник ЄС, L 167, 22 червня 2001 р., с 10-19);</w:t>
      </w:r>
    </w:p>
    <w:p w14:paraId="0000000C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- Директива 2001/84/ЄС Європейського Парламенту та Ради від 27 вересня 2001 року про право слідування на користь автора оригінального твору мистецтва (Офіційний вісник ЄС, L 272, 13 жовтня 2001 р., с. 32-36);</w:t>
      </w:r>
    </w:p>
    <w:p w14:paraId="0000000D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- Директива 2006/115/ЄС Європейського Парламенту та Ради від 12 грудня 2006 року про право оренди, позички та деякі суміжні права у сфері </w:t>
      </w:r>
      <w:r>
        <w:rPr>
          <w:rFonts w:cs="Times New Roman"/>
          <w:color w:val="000000"/>
          <w:sz w:val="28"/>
          <w:szCs w:val="28"/>
        </w:rPr>
        <w:lastRenderedPageBreak/>
        <w:t>інтелектуальної власності (Офіційний вісник ЄС, L 376, 27 грудня 2006 р., с. 28-35);</w:t>
      </w:r>
    </w:p>
    <w:p w14:paraId="0000000E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- Директива 2009/24/ЄС Європейського Парламенту та Ради від 23 квітня 2009 року про правову охорону комп’ютерних програм (Офіційний вісник ЄС, L 111, 5 травня 2009 р., с. 16-22);</w:t>
      </w:r>
    </w:p>
    <w:p w14:paraId="0000000F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- Директива 2012/28/ЄС Європейського Парламенту та Ради від 25 жовтня 2012 року про окремі випадки дозволеного використання сирітських творів;</w:t>
      </w:r>
    </w:p>
    <w:p w14:paraId="00000010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- Директива 2014/26/ЄС Європейського Парламенту та Ради від 26 лютого 2014 року про колективне управління авторським правом і суміжними правами та мультитериторіальне ліцензування прав на музичні твори для онлайн використання на внутрішньому ринку (Офіційний вісник ЄС, L 84/72, 20 березня 2014 р.).</w:t>
      </w:r>
    </w:p>
    <w:p w14:paraId="00000011" w14:textId="77777777" w:rsidR="008E0374" w:rsidRDefault="008E03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</w:p>
    <w:p w14:paraId="00000012" w14:textId="2CBB0230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2. Мета і шляхи її досягнення</w:t>
      </w:r>
    </w:p>
    <w:p w14:paraId="1D4FC521" w14:textId="77777777" w:rsidR="00EB3040" w:rsidRDefault="00EB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</w:p>
    <w:p w14:paraId="00000013" w14:textId="1A0C57B1" w:rsidR="008E0374" w:rsidRDefault="00850B7A" w:rsidP="000F130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</w:t>
      </w:r>
      <w:r w:rsidR="000F1308">
        <w:rPr>
          <w:rFonts w:cs="Times New Roman"/>
          <w:sz w:val="28"/>
          <w:szCs w:val="28"/>
        </w:rPr>
        <w:t>е</w:t>
      </w:r>
      <w:r>
        <w:rPr>
          <w:rFonts w:cs="Times New Roman"/>
          <w:color w:val="000000"/>
          <w:sz w:val="28"/>
          <w:szCs w:val="28"/>
        </w:rPr>
        <w:t>кт Закону розроблений з метою удосконалення правового регулювання питань стосовно здійснення та</w:t>
      </w:r>
      <w:r>
        <w:rPr>
          <w:rFonts w:cs="Times New Roman"/>
          <w:sz w:val="28"/>
          <w:szCs w:val="28"/>
        </w:rPr>
        <w:t xml:space="preserve"> захисту особистих немайнових та майнових прав суб’єктів авторського права та суміжних прав</w:t>
      </w:r>
      <w:r>
        <w:rPr>
          <w:rFonts w:cs="Times New Roman"/>
          <w:color w:val="000000"/>
          <w:sz w:val="28"/>
          <w:szCs w:val="28"/>
        </w:rPr>
        <w:t>, серед яких:</w:t>
      </w:r>
    </w:p>
    <w:p w14:paraId="00000014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- </w:t>
      </w:r>
      <w:r>
        <w:rPr>
          <w:rFonts w:cs="Times New Roman"/>
          <w:sz w:val="28"/>
          <w:szCs w:val="28"/>
        </w:rPr>
        <w:t>гармонізація</w:t>
      </w:r>
      <w:r>
        <w:rPr>
          <w:rFonts w:cs="Times New Roman"/>
          <w:color w:val="000000"/>
          <w:sz w:val="28"/>
          <w:szCs w:val="28"/>
        </w:rPr>
        <w:t xml:space="preserve"> положень Цивільного кодексу України, Закону України «Про авторське право і суміжні права» до норм законодавства Європейського Союзу </w:t>
      </w:r>
      <w:r>
        <w:rPr>
          <w:rFonts w:cs="Times New Roman"/>
          <w:sz w:val="28"/>
          <w:szCs w:val="28"/>
        </w:rPr>
        <w:t>в частині, що стосується забезпечення надійної правової охорони</w:t>
      </w:r>
      <w:r>
        <w:rPr>
          <w:rFonts w:cs="Times New Roman"/>
          <w:color w:val="000000"/>
          <w:sz w:val="28"/>
          <w:szCs w:val="28"/>
        </w:rPr>
        <w:t xml:space="preserve"> авторського права та суміжних прав;</w:t>
      </w:r>
    </w:p>
    <w:p w14:paraId="00000015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- усунення </w:t>
      </w:r>
      <w:r>
        <w:rPr>
          <w:rFonts w:cs="Times New Roman"/>
          <w:sz w:val="28"/>
          <w:szCs w:val="28"/>
        </w:rPr>
        <w:t>прогалин в чинному законодавстві, що перешкоджають реалізації окремих положень чинного законодавства, зокрема в частині забезпечення здійснення права слідування;</w:t>
      </w:r>
    </w:p>
    <w:p w14:paraId="00000016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- </w:t>
      </w:r>
      <w:r>
        <w:rPr>
          <w:rFonts w:cs="Times New Roman"/>
          <w:sz w:val="28"/>
          <w:szCs w:val="28"/>
        </w:rPr>
        <w:t>удосконалення</w:t>
      </w:r>
      <w:r>
        <w:rPr>
          <w:rFonts w:cs="Times New Roman"/>
          <w:color w:val="000000"/>
          <w:sz w:val="28"/>
          <w:szCs w:val="28"/>
        </w:rPr>
        <w:t xml:space="preserve"> чинного законодавства в частині </w:t>
      </w:r>
      <w:r>
        <w:rPr>
          <w:rFonts w:cs="Times New Roman"/>
          <w:sz w:val="28"/>
          <w:szCs w:val="28"/>
        </w:rPr>
        <w:t>вирішення питань, що виникають на практиці та пов’язані зі здійсненням та захистом авторських та суміжних прав.</w:t>
      </w:r>
    </w:p>
    <w:p w14:paraId="00000018" w14:textId="74648493" w:rsidR="008E0374" w:rsidRDefault="008E0374" w:rsidP="007401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right="-2" w:firstLineChars="0" w:firstLine="0"/>
        <w:jc w:val="both"/>
        <w:rPr>
          <w:rFonts w:cs="Times New Roman"/>
          <w:color w:val="000000"/>
          <w:sz w:val="28"/>
          <w:szCs w:val="28"/>
        </w:rPr>
      </w:pPr>
    </w:p>
    <w:p w14:paraId="00000019" w14:textId="248EC3D2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b/>
          <w:color w:val="000000"/>
          <w:sz w:val="28"/>
          <w:szCs w:val="28"/>
        </w:rPr>
      </w:pPr>
      <w:bookmarkStart w:id="4" w:name="_heading=h.3znysh7" w:colFirst="0" w:colLast="0"/>
      <w:bookmarkEnd w:id="4"/>
      <w:r>
        <w:rPr>
          <w:rFonts w:cs="Times New Roman"/>
          <w:b/>
          <w:color w:val="000000"/>
          <w:sz w:val="28"/>
          <w:szCs w:val="28"/>
        </w:rPr>
        <w:t>3. Загальна характеристика й основні положення проекту Закону</w:t>
      </w:r>
    </w:p>
    <w:p w14:paraId="13FB12F4" w14:textId="77777777" w:rsidR="00EB3040" w:rsidRDefault="00EB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</w:p>
    <w:p w14:paraId="0000001A" w14:textId="1C4537C9" w:rsidR="008E0374" w:rsidRDefault="00850B7A" w:rsidP="000F130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Цей про</w:t>
      </w:r>
      <w:r w:rsidR="000F1308">
        <w:rPr>
          <w:rFonts w:cs="Times New Roman"/>
          <w:sz w:val="28"/>
          <w:szCs w:val="28"/>
        </w:rPr>
        <w:t>е</w:t>
      </w:r>
      <w:r>
        <w:rPr>
          <w:rFonts w:cs="Times New Roman"/>
          <w:color w:val="000000"/>
          <w:sz w:val="28"/>
          <w:szCs w:val="28"/>
        </w:rPr>
        <w:t>кт Закону спрямований на регулювання відносин</w:t>
      </w:r>
      <w:r>
        <w:rPr>
          <w:rFonts w:cs="Times New Roman"/>
          <w:sz w:val="28"/>
          <w:szCs w:val="28"/>
        </w:rPr>
        <w:t xml:space="preserve"> щодо набуття, здійснення та захисту особистих немайнових та майнових авторських і (або) суміжних прав, а також щодо прав особливого роду (sui generis), пов’язаних зі сферою авторського права і (або) суміжних прав</w:t>
      </w:r>
      <w:r>
        <w:rPr>
          <w:rFonts w:cs="Times New Roman"/>
          <w:color w:val="000000"/>
          <w:sz w:val="28"/>
          <w:szCs w:val="28"/>
        </w:rPr>
        <w:t>.</w:t>
      </w:r>
    </w:p>
    <w:p w14:paraId="0000001B" w14:textId="17AB1D92" w:rsidR="008E0374" w:rsidRDefault="00850B7A" w:rsidP="00C701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</w:t>
      </w:r>
      <w:r w:rsidR="000F1308">
        <w:rPr>
          <w:rFonts w:cs="Times New Roman"/>
          <w:sz w:val="28"/>
          <w:szCs w:val="28"/>
        </w:rPr>
        <w:t>е</w:t>
      </w:r>
      <w:r w:rsidR="000F1308">
        <w:rPr>
          <w:rFonts w:cs="Times New Roman"/>
          <w:color w:val="000000"/>
          <w:sz w:val="28"/>
          <w:szCs w:val="28"/>
        </w:rPr>
        <w:t>кт Закону</w:t>
      </w:r>
      <w:r>
        <w:rPr>
          <w:rFonts w:cs="Times New Roman"/>
          <w:color w:val="000000"/>
          <w:sz w:val="28"/>
          <w:szCs w:val="28"/>
        </w:rPr>
        <w:t xml:space="preserve"> передбачає:</w:t>
      </w:r>
    </w:p>
    <w:p w14:paraId="0000001C" w14:textId="77777777" w:rsidR="008E0374" w:rsidRDefault="00850B7A" w:rsidP="00C7019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1" w:right="-2" w:firstLineChars="0" w:hanging="1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викладення в новій редакції Закону України «Про авторське право і суміжні права»;</w:t>
      </w:r>
    </w:p>
    <w:p w14:paraId="0000001D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2) внесення змін до таких актів:</w:t>
      </w:r>
    </w:p>
    <w:p w14:paraId="0000001E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Закон України «Про видавничу справу»;</w:t>
      </w:r>
    </w:p>
    <w:p w14:paraId="0000001F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Закон України «Про кінематографію»;</w:t>
      </w:r>
    </w:p>
    <w:p w14:paraId="00000020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Закон України «Про гастрольні заходи в Україні»;</w:t>
      </w:r>
    </w:p>
    <w:p w14:paraId="00000021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Закон України «Про театри і театральну справу»;</w:t>
      </w:r>
    </w:p>
    <w:p w14:paraId="00000022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Закон України «Про телебачення і радіомовлення»;</w:t>
      </w:r>
    </w:p>
    <w:p w14:paraId="00000023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tabs>
          <w:tab w:val="left" w:pos="2544"/>
        </w:tabs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lastRenderedPageBreak/>
        <w:t>Закон України «Про вивезення, ввезення та повернення культурних цінностей»;</w:t>
      </w:r>
    </w:p>
    <w:p w14:paraId="00000024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tabs>
          <w:tab w:val="left" w:pos="2544"/>
        </w:tabs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Закон України «Про професійних творчих працівників та творчі спілки»;</w:t>
      </w:r>
    </w:p>
    <w:p w14:paraId="00000025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tabs>
          <w:tab w:val="left" w:pos="2544"/>
        </w:tabs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Закон України «Про Національний архівний фонд та архівні установи»;</w:t>
      </w:r>
    </w:p>
    <w:p w14:paraId="00000026" w14:textId="26F2A2E8" w:rsidR="008E0374" w:rsidRDefault="00C70195">
      <w:pPr>
        <w:pBdr>
          <w:top w:val="nil"/>
          <w:left w:val="nil"/>
          <w:bottom w:val="nil"/>
          <w:right w:val="nil"/>
          <w:between w:val="nil"/>
        </w:pBdr>
        <w:tabs>
          <w:tab w:val="left" w:pos="2544"/>
        </w:tabs>
        <w:spacing w:line="240" w:lineRule="auto"/>
        <w:ind w:left="1" w:right="-2" w:hanging="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Закон</w:t>
      </w:r>
      <w:r w:rsidR="00850B7A">
        <w:rPr>
          <w:rFonts w:cs="Times New Roman"/>
          <w:sz w:val="28"/>
          <w:szCs w:val="28"/>
        </w:rPr>
        <w:t xml:space="preserve"> України «Про ефективне управління майновими правами правовласників у сфері авторського права і (або) суміжних прав»;</w:t>
      </w:r>
    </w:p>
    <w:p w14:paraId="00000027" w14:textId="77777777" w:rsidR="008E0374" w:rsidRDefault="00850B7A" w:rsidP="00C701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Закон установить:</w:t>
      </w:r>
    </w:p>
    <w:p w14:paraId="00000028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1) </w:t>
      </w:r>
      <w:r>
        <w:rPr>
          <w:rFonts w:cs="Times New Roman"/>
          <w:sz w:val="28"/>
          <w:szCs w:val="28"/>
        </w:rPr>
        <w:t>перелік об’єктів авторського права, суміжних прав та творів, які не є об'єктами авторського права з урахуванням норм законодавства Європейського Союзу;</w:t>
      </w:r>
    </w:p>
    <w:p w14:paraId="00000029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2) реєстри щодо окремих видів об’єктів авторського права і суміжних прав, зокрема сирітських творів, творів, оригінальних художніх творів, щодо яких поширюється дія права слідування тощо;</w:t>
      </w:r>
    </w:p>
    <w:p w14:paraId="0000002A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>
        <w:rPr>
          <w:rFonts w:cs="Times New Roman"/>
          <w:color w:val="000000"/>
          <w:sz w:val="28"/>
          <w:szCs w:val="28"/>
        </w:rPr>
        <w:t xml:space="preserve">) </w:t>
      </w:r>
      <w:r>
        <w:rPr>
          <w:rFonts w:cs="Times New Roman"/>
          <w:sz w:val="28"/>
          <w:szCs w:val="28"/>
        </w:rPr>
        <w:t xml:space="preserve"> суб’єктів авторського права та суміжних прав, у тому числі на окремі види об’єктів з урахуванням норм законодавства Європейського Союзу;</w:t>
      </w:r>
    </w:p>
    <w:p w14:paraId="0000002B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>4</w:t>
      </w:r>
      <w:r>
        <w:rPr>
          <w:rFonts w:cs="Times New Roman"/>
          <w:color w:val="000000"/>
          <w:sz w:val="28"/>
          <w:szCs w:val="28"/>
        </w:rPr>
        <w:t xml:space="preserve">) </w:t>
      </w:r>
      <w:r>
        <w:rPr>
          <w:rFonts w:cs="Times New Roman"/>
          <w:sz w:val="28"/>
          <w:szCs w:val="28"/>
        </w:rPr>
        <w:t>строк чинності авторського права та суміжних прав;</w:t>
      </w:r>
    </w:p>
    <w:p w14:paraId="0000002C" w14:textId="77777777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>5</w:t>
      </w:r>
      <w:r>
        <w:rPr>
          <w:rFonts w:cs="Times New Roman"/>
          <w:color w:val="000000"/>
          <w:sz w:val="28"/>
          <w:szCs w:val="28"/>
        </w:rPr>
        <w:t xml:space="preserve">) </w:t>
      </w:r>
      <w:r>
        <w:rPr>
          <w:rFonts w:cs="Times New Roman"/>
          <w:sz w:val="28"/>
          <w:szCs w:val="28"/>
        </w:rPr>
        <w:t>особливості здійснення авторських та суміжних прав та їх захисту</w:t>
      </w:r>
      <w:r>
        <w:rPr>
          <w:rFonts w:cs="Times New Roman"/>
          <w:color w:val="000000"/>
          <w:sz w:val="28"/>
          <w:szCs w:val="28"/>
        </w:rPr>
        <w:t>.</w:t>
      </w:r>
    </w:p>
    <w:p w14:paraId="0000002D" w14:textId="77777777" w:rsidR="008E0374" w:rsidRDefault="00850B7A" w:rsidP="00C701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Закон регулюватиме:</w:t>
      </w:r>
    </w:p>
    <w:p w14:paraId="0000002E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>відносини, пов’язані з виникненням авторських та суміжних прав</w:t>
      </w:r>
      <w:r>
        <w:rPr>
          <w:rFonts w:cs="Times New Roman"/>
          <w:color w:val="000000"/>
          <w:sz w:val="28"/>
          <w:szCs w:val="28"/>
        </w:rPr>
        <w:t>;</w:t>
      </w:r>
    </w:p>
    <w:p w14:paraId="0000002F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питання, пов’язані з </w:t>
      </w:r>
      <w:r>
        <w:rPr>
          <w:rFonts w:cs="Times New Roman"/>
          <w:sz w:val="28"/>
          <w:szCs w:val="28"/>
        </w:rPr>
        <w:t>веденням реєстру окремих видів творів, зокрема сирітських творів, творів, щодо яких діє право слідування</w:t>
      </w:r>
      <w:r>
        <w:rPr>
          <w:rFonts w:cs="Times New Roman"/>
          <w:color w:val="000000"/>
          <w:sz w:val="28"/>
          <w:szCs w:val="28"/>
        </w:rPr>
        <w:t>;</w:t>
      </w:r>
    </w:p>
    <w:p w14:paraId="00000030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особливості авторського права на службові твори;</w:t>
      </w:r>
    </w:p>
    <w:p w14:paraId="00000031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особливості розподілу прав на твори, створені за договором творчого замовлення, службові твори;</w:t>
      </w:r>
    </w:p>
    <w:p w14:paraId="00000032" w14:textId="298B02FE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особливості регулювання відносин між авторами аудіовізуальн</w:t>
      </w:r>
      <w:r>
        <w:rPr>
          <w:rFonts w:cs="Times New Roman"/>
          <w:sz w:val="28"/>
          <w:szCs w:val="28"/>
        </w:rPr>
        <w:t>их</w:t>
      </w:r>
      <w:r>
        <w:rPr>
          <w:rFonts w:cs="Times New Roman"/>
          <w:color w:val="000000"/>
          <w:sz w:val="28"/>
          <w:szCs w:val="28"/>
        </w:rPr>
        <w:t xml:space="preserve"> твор</w:t>
      </w:r>
      <w:r>
        <w:rPr>
          <w:rFonts w:cs="Times New Roman"/>
          <w:sz w:val="28"/>
          <w:szCs w:val="28"/>
        </w:rPr>
        <w:t>ів</w:t>
      </w:r>
      <w:r>
        <w:rPr>
          <w:rFonts w:cs="Times New Roman"/>
          <w:color w:val="000000"/>
          <w:sz w:val="28"/>
          <w:szCs w:val="28"/>
        </w:rPr>
        <w:t>, складен</w:t>
      </w:r>
      <w:r>
        <w:rPr>
          <w:rFonts w:cs="Times New Roman"/>
          <w:sz w:val="28"/>
          <w:szCs w:val="28"/>
        </w:rPr>
        <w:t xml:space="preserve">их </w:t>
      </w:r>
      <w:r>
        <w:rPr>
          <w:rFonts w:cs="Times New Roman"/>
          <w:color w:val="000000"/>
          <w:sz w:val="28"/>
          <w:szCs w:val="28"/>
        </w:rPr>
        <w:t>твор</w:t>
      </w:r>
      <w:r>
        <w:rPr>
          <w:rFonts w:cs="Times New Roman"/>
          <w:sz w:val="28"/>
          <w:szCs w:val="28"/>
        </w:rPr>
        <w:t>ів</w:t>
      </w:r>
      <w:r>
        <w:rPr>
          <w:rFonts w:cs="Times New Roman"/>
          <w:color w:val="000000"/>
          <w:sz w:val="28"/>
          <w:szCs w:val="28"/>
        </w:rPr>
        <w:t>, похідн</w:t>
      </w:r>
      <w:r>
        <w:rPr>
          <w:rFonts w:cs="Times New Roman"/>
          <w:sz w:val="28"/>
          <w:szCs w:val="28"/>
        </w:rPr>
        <w:t>их творів тощо</w:t>
      </w:r>
      <w:r w:rsidR="00C70195" w:rsidRPr="00C70195">
        <w:rPr>
          <w:rFonts w:cs="Times New Roman"/>
          <w:sz w:val="28"/>
          <w:szCs w:val="28"/>
        </w:rPr>
        <w:t>;</w:t>
      </w:r>
    </w:p>
    <w:p w14:paraId="00000033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випадки та </w:t>
      </w:r>
      <w:r>
        <w:rPr>
          <w:rFonts w:cs="Times New Roman"/>
          <w:sz w:val="28"/>
          <w:szCs w:val="28"/>
        </w:rPr>
        <w:t xml:space="preserve">умови правомірності </w:t>
      </w:r>
      <w:r>
        <w:rPr>
          <w:rFonts w:cs="Times New Roman"/>
          <w:color w:val="000000"/>
          <w:sz w:val="28"/>
          <w:szCs w:val="28"/>
        </w:rPr>
        <w:t xml:space="preserve">вільного використання </w:t>
      </w:r>
      <w:r>
        <w:rPr>
          <w:rFonts w:cs="Times New Roman"/>
          <w:sz w:val="28"/>
          <w:szCs w:val="28"/>
        </w:rPr>
        <w:t>об’єктів авторського права і суміжних прав</w:t>
      </w:r>
      <w:r>
        <w:rPr>
          <w:rFonts w:cs="Times New Roman"/>
          <w:color w:val="000000"/>
          <w:sz w:val="28"/>
          <w:szCs w:val="28"/>
        </w:rPr>
        <w:t>;</w:t>
      </w:r>
    </w:p>
    <w:p w14:paraId="00000034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>умови та особливості використання об’єктів авторського права та суміжних прав, які набули статус «сирітських»</w:t>
      </w:r>
      <w:r>
        <w:rPr>
          <w:rFonts w:cs="Times New Roman"/>
          <w:color w:val="000000"/>
          <w:sz w:val="28"/>
          <w:szCs w:val="28"/>
        </w:rPr>
        <w:t>;</w:t>
      </w:r>
    </w:p>
    <w:p w14:paraId="00000035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умови визнання об’єктів авторського права та суміжних прав такими, що перейшли </w:t>
      </w:r>
      <w:r>
        <w:rPr>
          <w:rFonts w:cs="Times New Roman"/>
          <w:color w:val="000000"/>
          <w:sz w:val="28"/>
          <w:szCs w:val="28"/>
        </w:rPr>
        <w:t>у суспільне надбання;</w:t>
      </w:r>
    </w:p>
    <w:p w14:paraId="00000036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особливості здійснення авторами та спадкоємцями </w:t>
      </w:r>
      <w:r>
        <w:rPr>
          <w:rFonts w:cs="Times New Roman"/>
          <w:sz w:val="28"/>
          <w:szCs w:val="28"/>
        </w:rPr>
        <w:t>права слідування щодо оригінальних художніх творів</w:t>
      </w:r>
      <w:r>
        <w:rPr>
          <w:rFonts w:cs="Times New Roman"/>
          <w:color w:val="000000"/>
          <w:sz w:val="28"/>
          <w:szCs w:val="28"/>
        </w:rPr>
        <w:t>;</w:t>
      </w:r>
    </w:p>
    <w:p w14:paraId="00000037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>визначення правил пропорційного розподілу права на справедливу винагороду між суб’єктами, спільною творчою працею яких створено об’єкт авторського права та суміжних прав</w:t>
      </w:r>
      <w:r>
        <w:rPr>
          <w:rFonts w:cs="Times New Roman"/>
          <w:color w:val="000000"/>
          <w:sz w:val="28"/>
          <w:szCs w:val="28"/>
        </w:rPr>
        <w:t>;</w:t>
      </w:r>
    </w:p>
    <w:p w14:paraId="00000038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особливості здійснення майнових прав на об'єкти авторського права і суміжних прав та розпоряджання правами;</w:t>
      </w:r>
    </w:p>
    <w:p w14:paraId="00000039" w14:textId="77777777" w:rsidR="008E0374" w:rsidRDefault="00850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форми, порядок та способи </w:t>
      </w:r>
      <w:r>
        <w:rPr>
          <w:rFonts w:cs="Times New Roman"/>
          <w:color w:val="000000"/>
          <w:sz w:val="28"/>
          <w:szCs w:val="28"/>
        </w:rPr>
        <w:t xml:space="preserve">захисту авторського права і суміжних прав у випадку </w:t>
      </w:r>
      <w:r>
        <w:rPr>
          <w:rFonts w:cs="Times New Roman"/>
          <w:sz w:val="28"/>
          <w:szCs w:val="28"/>
        </w:rPr>
        <w:t>посягання на них, їх оспорення або невизнання, у тому числі з використанням мережі Інтернет.</w:t>
      </w:r>
    </w:p>
    <w:p w14:paraId="0000003B" w14:textId="67AEF07F" w:rsidR="008E0374" w:rsidRPr="007401DF" w:rsidRDefault="00850B7A" w:rsidP="007401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</w:t>
      </w:r>
      <w:r w:rsidR="000F1308">
        <w:rPr>
          <w:rFonts w:cs="Times New Roman"/>
          <w:sz w:val="28"/>
          <w:szCs w:val="28"/>
        </w:rPr>
        <w:t>е</w:t>
      </w:r>
      <w:r>
        <w:rPr>
          <w:rFonts w:cs="Times New Roman"/>
          <w:color w:val="000000"/>
          <w:sz w:val="28"/>
          <w:szCs w:val="28"/>
        </w:rPr>
        <w:t>кт Закону передбачає посилення відповідальності за порушення прав на об’єкт п</w:t>
      </w:r>
      <w:r w:rsidR="000A2E29">
        <w:rPr>
          <w:rFonts w:cs="Times New Roman"/>
          <w:color w:val="000000"/>
          <w:sz w:val="28"/>
          <w:szCs w:val="28"/>
        </w:rPr>
        <w:t>рава інтелектуальної власності.</w:t>
      </w:r>
    </w:p>
    <w:p w14:paraId="0000003C" w14:textId="77777777" w:rsidR="008E0374" w:rsidRDefault="008E03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sz w:val="28"/>
          <w:szCs w:val="28"/>
        </w:rPr>
      </w:pPr>
    </w:p>
    <w:p w14:paraId="0000003D" w14:textId="4E5B367B" w:rsidR="008E0374" w:rsidRDefault="00850B7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4. Правові аспекти</w:t>
      </w:r>
    </w:p>
    <w:p w14:paraId="1C45E0FB" w14:textId="77777777" w:rsidR="00EB3040" w:rsidRDefault="00EB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</w:p>
    <w:p w14:paraId="0000003E" w14:textId="33710FD4" w:rsidR="008E0374" w:rsidRDefault="00850B7A" w:rsidP="00C701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Правовими підставами для розроблення про</w:t>
      </w:r>
      <w:r w:rsidR="000F1308">
        <w:rPr>
          <w:rFonts w:cs="Times New Roman"/>
          <w:sz w:val="28"/>
          <w:szCs w:val="28"/>
        </w:rPr>
        <w:t>е</w:t>
      </w:r>
      <w:r>
        <w:rPr>
          <w:rFonts w:cs="Times New Roman"/>
          <w:color w:val="000000"/>
          <w:sz w:val="28"/>
          <w:szCs w:val="28"/>
        </w:rPr>
        <w:t>кту Закону є Угода про асоціацію та Концепція реформування державної системи правової охорони інтелектуальної власності в Україні, схвалена розпорядженням Кабінету Міністрів України від 01.06.2016 р.  № 402.</w:t>
      </w:r>
    </w:p>
    <w:p w14:paraId="00000045" w14:textId="714D9E78" w:rsidR="008E0374" w:rsidRPr="00C70195" w:rsidRDefault="00850B7A" w:rsidP="00C701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</w:rPr>
        <w:t>У даній сфері суспільних відносин діють:</w:t>
      </w:r>
      <w:r w:rsidR="00C70195">
        <w:rPr>
          <w:rFonts w:cs="Times New Roman"/>
          <w:color w:val="000000"/>
          <w:sz w:val="28"/>
          <w:szCs w:val="28"/>
          <w:lang w:val="uk-UA"/>
        </w:rPr>
        <w:t xml:space="preserve"> </w:t>
      </w:r>
      <w:r w:rsidR="00C70195">
        <w:rPr>
          <w:rFonts w:cs="Times New Roman"/>
          <w:color w:val="000000"/>
          <w:sz w:val="28"/>
          <w:szCs w:val="28"/>
        </w:rPr>
        <w:t>Конституція України</w:t>
      </w:r>
      <w:r w:rsidR="00C70195">
        <w:rPr>
          <w:rFonts w:cs="Times New Roman"/>
          <w:color w:val="000000"/>
          <w:sz w:val="28"/>
          <w:szCs w:val="28"/>
          <w:lang w:val="uk-UA"/>
        </w:rPr>
        <w:t xml:space="preserve">, </w:t>
      </w:r>
      <w:r w:rsidR="00C70195">
        <w:rPr>
          <w:rFonts w:cs="Times New Roman"/>
          <w:color w:val="000000"/>
          <w:sz w:val="28"/>
          <w:szCs w:val="28"/>
        </w:rPr>
        <w:t>Цивільний кодекс України</w:t>
      </w:r>
      <w:r w:rsidR="00C70195">
        <w:rPr>
          <w:rFonts w:cs="Times New Roman"/>
          <w:color w:val="000000"/>
          <w:sz w:val="28"/>
          <w:szCs w:val="28"/>
          <w:lang w:val="uk-UA"/>
        </w:rPr>
        <w:t xml:space="preserve">, </w:t>
      </w:r>
      <w:r>
        <w:rPr>
          <w:rFonts w:cs="Times New Roman"/>
          <w:color w:val="000000"/>
          <w:sz w:val="28"/>
          <w:szCs w:val="28"/>
        </w:rPr>
        <w:t>Кодекс України про адміністра</w:t>
      </w:r>
      <w:r w:rsidR="00C70195">
        <w:rPr>
          <w:rFonts w:cs="Times New Roman"/>
          <w:color w:val="000000"/>
          <w:sz w:val="28"/>
          <w:szCs w:val="28"/>
        </w:rPr>
        <w:t>тивні правопорушення</w:t>
      </w:r>
      <w:r w:rsidR="00C70195">
        <w:rPr>
          <w:rFonts w:cs="Times New Roman"/>
          <w:color w:val="000000"/>
          <w:sz w:val="28"/>
          <w:szCs w:val="28"/>
          <w:lang w:val="uk-UA"/>
        </w:rPr>
        <w:t xml:space="preserve">, </w:t>
      </w:r>
      <w:r w:rsidR="00C70195">
        <w:rPr>
          <w:rFonts w:cs="Times New Roman"/>
          <w:color w:val="000000"/>
          <w:sz w:val="28"/>
          <w:szCs w:val="28"/>
        </w:rPr>
        <w:t>Кримінальний кодекс України</w:t>
      </w:r>
      <w:r w:rsidR="00C70195">
        <w:rPr>
          <w:rFonts w:cs="Times New Roman"/>
          <w:color w:val="000000"/>
          <w:sz w:val="28"/>
          <w:szCs w:val="28"/>
          <w:lang w:val="uk-UA"/>
        </w:rPr>
        <w:t xml:space="preserve">, </w:t>
      </w:r>
      <w:r>
        <w:rPr>
          <w:rFonts w:cs="Times New Roman"/>
          <w:color w:val="000000"/>
          <w:sz w:val="28"/>
          <w:szCs w:val="28"/>
        </w:rPr>
        <w:t>Закони України «Про видавничу справу», «Про кінематографію», «Про гастрольні заходи в Україні», «Про професійних творчих працівників та творчі спілки», «Про розповсюдження примірників аудіовізуальних творів, фонограм, відеограм, комп</w:t>
      </w:r>
      <w:r>
        <w:rPr>
          <w:rFonts w:cs="Times New Roman"/>
          <w:sz w:val="28"/>
          <w:szCs w:val="28"/>
        </w:rPr>
        <w:t>’</w:t>
      </w:r>
      <w:r>
        <w:rPr>
          <w:rFonts w:cs="Times New Roman"/>
          <w:color w:val="000000"/>
          <w:sz w:val="28"/>
          <w:szCs w:val="28"/>
        </w:rPr>
        <w:t xml:space="preserve">ютерних програм, баз даних», «Про телебачення і радіомовлення», «Про ефективне управління майновими правами правовласників у сфері авторського права і (або) суміжних прав», </w:t>
      </w:r>
      <w:r>
        <w:rPr>
          <w:rFonts w:cs="Times New Roman"/>
          <w:sz w:val="28"/>
          <w:szCs w:val="28"/>
        </w:rPr>
        <w:t>«</w:t>
      </w:r>
      <w:r>
        <w:rPr>
          <w:rFonts w:cs="Times New Roman"/>
          <w:color w:val="000000"/>
          <w:sz w:val="28"/>
          <w:szCs w:val="28"/>
        </w:rPr>
        <w:t>Про особливості державного регулювання діяльності суб’єктів господарювання, пов’язаної з виробництвом, експортом, імпортом дисків для лазерних систем зчитування</w:t>
      </w:r>
      <w:r>
        <w:rPr>
          <w:rFonts w:cs="Times New Roman"/>
          <w:sz w:val="28"/>
          <w:szCs w:val="28"/>
        </w:rPr>
        <w:t>»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«Про вивезення, ввезення та повернення культурних цінностей», «</w:t>
      </w:r>
      <w:r>
        <w:rPr>
          <w:rFonts w:cs="Times New Roman"/>
          <w:color w:val="000000"/>
          <w:sz w:val="28"/>
          <w:szCs w:val="28"/>
        </w:rPr>
        <w:t>Про культуру</w:t>
      </w:r>
      <w:r>
        <w:rPr>
          <w:rFonts w:cs="Times New Roman"/>
          <w:sz w:val="28"/>
          <w:szCs w:val="28"/>
        </w:rPr>
        <w:t>»</w:t>
      </w:r>
      <w:r>
        <w:rPr>
          <w:rFonts w:cs="Times New Roman"/>
          <w:color w:val="000000"/>
          <w:sz w:val="28"/>
          <w:szCs w:val="28"/>
        </w:rPr>
        <w:t xml:space="preserve">, «Про театри і театральну справу» </w:t>
      </w:r>
      <w:r>
        <w:rPr>
          <w:rFonts w:cs="Times New Roman"/>
          <w:sz w:val="28"/>
          <w:szCs w:val="28"/>
        </w:rPr>
        <w:t>та інш</w:t>
      </w:r>
      <w:r w:rsidR="00C70195">
        <w:rPr>
          <w:rFonts w:cs="Times New Roman"/>
          <w:color w:val="000000"/>
          <w:sz w:val="28"/>
          <w:szCs w:val="28"/>
        </w:rPr>
        <w:t>і</w:t>
      </w:r>
      <w:r w:rsidR="00C70195">
        <w:rPr>
          <w:rFonts w:cs="Times New Roman"/>
          <w:color w:val="000000"/>
          <w:sz w:val="28"/>
          <w:szCs w:val="28"/>
          <w:lang w:val="uk-UA"/>
        </w:rPr>
        <w:t xml:space="preserve">, </w:t>
      </w:r>
      <w:r>
        <w:rPr>
          <w:rFonts w:cs="Times New Roman"/>
          <w:color w:val="000000"/>
          <w:sz w:val="28"/>
          <w:szCs w:val="28"/>
        </w:rPr>
        <w:t xml:space="preserve"> </w:t>
      </w:r>
      <w:r w:rsidRPr="00C70195">
        <w:rPr>
          <w:rFonts w:cs="Times New Roman"/>
          <w:color w:val="000000"/>
          <w:sz w:val="28"/>
          <w:szCs w:val="28"/>
          <w:lang w:val="uk-UA"/>
        </w:rPr>
        <w:t xml:space="preserve">постанови Кабінету Міністрів України «Про державну реєстрацію авторського права і договорів, які стосуються права автора на твір» </w:t>
      </w:r>
      <w:r w:rsidRPr="00C70195">
        <w:rPr>
          <w:rFonts w:cs="Times New Roman"/>
          <w:sz w:val="28"/>
          <w:szCs w:val="28"/>
          <w:lang w:val="uk-UA"/>
        </w:rPr>
        <w:t>від 27.12.2001 № 1756</w:t>
      </w:r>
      <w:r w:rsidRPr="00C70195">
        <w:rPr>
          <w:rFonts w:cs="Times New Roman"/>
          <w:color w:val="000000"/>
          <w:sz w:val="28"/>
          <w:szCs w:val="28"/>
          <w:lang w:val="uk-UA"/>
        </w:rPr>
        <w:t>,  «Про затвердження розміру винагороди (роялті) за використання опублікованих з комерційною метою фонограм і відеограм та порядку її виплати»</w:t>
      </w:r>
      <w:r w:rsidRPr="00C70195">
        <w:rPr>
          <w:rFonts w:cs="Times New Roman"/>
          <w:sz w:val="28"/>
          <w:szCs w:val="28"/>
          <w:lang w:val="uk-UA"/>
        </w:rPr>
        <w:t xml:space="preserve"> від 18.01.2003 № 71</w:t>
      </w:r>
      <w:r w:rsidRPr="00C70195">
        <w:rPr>
          <w:rFonts w:cs="Times New Roman"/>
          <w:color w:val="000000"/>
          <w:sz w:val="28"/>
          <w:szCs w:val="28"/>
          <w:lang w:val="uk-UA"/>
        </w:rPr>
        <w:t xml:space="preserve">, «Про затвердження мінімальних ставок винагороди (роялті) за використання об'єктів авторського права і суміжних прав» </w:t>
      </w:r>
      <w:r w:rsidRPr="00C70195">
        <w:rPr>
          <w:rFonts w:cs="Times New Roman"/>
          <w:sz w:val="28"/>
          <w:szCs w:val="28"/>
          <w:lang w:val="uk-UA"/>
        </w:rPr>
        <w:t xml:space="preserve">від 18.01.2003 </w:t>
      </w:r>
      <w:r w:rsidR="00C666F5">
        <w:rPr>
          <w:rFonts w:cs="Times New Roman"/>
          <w:sz w:val="28"/>
          <w:szCs w:val="28"/>
          <w:lang w:val="uk-UA"/>
        </w:rPr>
        <w:t>  </w:t>
      </w:r>
      <w:r w:rsidRPr="00C70195">
        <w:rPr>
          <w:rFonts w:cs="Times New Roman"/>
          <w:sz w:val="28"/>
          <w:szCs w:val="28"/>
          <w:lang w:val="uk-UA"/>
        </w:rPr>
        <w:t xml:space="preserve">№ 72 </w:t>
      </w:r>
      <w:r w:rsidR="00C666F5">
        <w:rPr>
          <w:rFonts w:cs="Times New Roman"/>
          <w:color w:val="000000"/>
          <w:sz w:val="28"/>
          <w:szCs w:val="28"/>
          <w:lang w:val="uk-UA"/>
        </w:rPr>
        <w:t>,</w:t>
      </w:r>
      <w:r w:rsidRPr="00C70195">
        <w:rPr>
          <w:rFonts w:cs="Times New Roman"/>
          <w:color w:val="000000"/>
          <w:sz w:val="28"/>
          <w:szCs w:val="28"/>
          <w:lang w:val="uk-UA"/>
        </w:rPr>
        <w:t xml:space="preserve"> «Про розмір відрахувань виробниками та імпортерами обладнання і матеріальних носіїв, із застосуванням яких у домашніх умовах можна здійснити відтворення творів і виконань, зафіксованих у фонограмах і (або) відеограмах»</w:t>
      </w:r>
      <w:r w:rsidRPr="00C70195">
        <w:rPr>
          <w:rFonts w:cs="Times New Roman"/>
          <w:sz w:val="28"/>
          <w:szCs w:val="28"/>
          <w:lang w:val="uk-UA"/>
        </w:rPr>
        <w:t xml:space="preserve"> від 27.06.2003 № 992 та інш</w:t>
      </w:r>
      <w:r w:rsidR="00C666F5">
        <w:rPr>
          <w:rFonts w:cs="Times New Roman"/>
          <w:color w:val="000000"/>
          <w:sz w:val="28"/>
          <w:szCs w:val="28"/>
          <w:lang w:val="uk-UA"/>
        </w:rPr>
        <w:t>і.</w:t>
      </w:r>
    </w:p>
    <w:p w14:paraId="00000046" w14:textId="77777777" w:rsidR="008E0374" w:rsidRDefault="00850B7A" w:rsidP="007401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Реалізація положень законопроекту після його прийняття не потребує внесення змін до чинних чи розроблення нових законів України.</w:t>
      </w:r>
    </w:p>
    <w:p w14:paraId="00000047" w14:textId="77777777" w:rsidR="008E0374" w:rsidRDefault="008E0374" w:rsidP="007401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</w:p>
    <w:p w14:paraId="00000048" w14:textId="0B785E6F" w:rsidR="008E0374" w:rsidRDefault="00EB3040" w:rsidP="007401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5</w:t>
      </w:r>
      <w:r w:rsidR="00C666F5">
        <w:rPr>
          <w:rFonts w:cs="Times New Roman"/>
          <w:b/>
          <w:color w:val="000000"/>
          <w:sz w:val="28"/>
          <w:szCs w:val="28"/>
        </w:rPr>
        <w:t>. Фінансово–</w:t>
      </w:r>
      <w:r w:rsidR="00850B7A">
        <w:rPr>
          <w:rFonts w:cs="Times New Roman"/>
          <w:b/>
          <w:color w:val="000000"/>
          <w:sz w:val="28"/>
          <w:szCs w:val="28"/>
        </w:rPr>
        <w:t>економічне обґрунтування</w:t>
      </w:r>
    </w:p>
    <w:p w14:paraId="7FF8FD0C" w14:textId="77777777" w:rsidR="00EB3040" w:rsidRDefault="00EB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</w:p>
    <w:p w14:paraId="00000049" w14:textId="77777777" w:rsidR="008E0374" w:rsidRDefault="00850B7A" w:rsidP="00C666F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Реалізація проекту Закону не потребує додаткового фінансування з державного та місцевого бюджетів.</w:t>
      </w:r>
    </w:p>
    <w:p w14:paraId="0000004A" w14:textId="77777777" w:rsidR="008E0374" w:rsidRDefault="008E03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bookmarkStart w:id="5" w:name="_heading=h.3dy6vkm" w:colFirst="0" w:colLast="0"/>
      <w:bookmarkEnd w:id="5"/>
    </w:p>
    <w:p w14:paraId="0000004B" w14:textId="75F7DE54" w:rsidR="008E0374" w:rsidRDefault="00EB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6</w:t>
      </w:r>
      <w:r w:rsidR="00850B7A">
        <w:rPr>
          <w:rFonts w:cs="Times New Roman"/>
          <w:b/>
          <w:color w:val="000000"/>
          <w:sz w:val="28"/>
          <w:szCs w:val="28"/>
        </w:rPr>
        <w:t>. Прогноз соціально-економічних наслідків прийняття проекту Закону</w:t>
      </w:r>
    </w:p>
    <w:p w14:paraId="11AFFC45" w14:textId="77777777" w:rsidR="00C666F5" w:rsidRDefault="00C666F5" w:rsidP="00C666F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</w:p>
    <w:p w14:paraId="0000004C" w14:textId="2FDECECB" w:rsidR="008E0374" w:rsidRDefault="00850B7A" w:rsidP="00C666F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</w:t>
      </w:r>
      <w:r w:rsidR="000F1308">
        <w:rPr>
          <w:rFonts w:cs="Times New Roman"/>
          <w:sz w:val="28"/>
          <w:szCs w:val="28"/>
        </w:rPr>
        <w:t>е</w:t>
      </w:r>
      <w:r>
        <w:rPr>
          <w:rFonts w:cs="Times New Roman"/>
          <w:color w:val="000000"/>
          <w:sz w:val="28"/>
          <w:szCs w:val="28"/>
        </w:rPr>
        <w:t>кт Закону визначає механізми врегулювання проблемних питань у сфері авторського права і суміжних прав, що базуються на практиці застосування чинних норм законодавства, а також враховують міжнародний досвід.</w:t>
      </w:r>
    </w:p>
    <w:p w14:paraId="0000004D" w14:textId="7B57E15E" w:rsidR="008E0374" w:rsidRDefault="00850B7A" w:rsidP="00C666F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-2" w:firstLineChars="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lastRenderedPageBreak/>
        <w:t>Прийняття про</w:t>
      </w:r>
      <w:r w:rsidR="000F1308">
        <w:rPr>
          <w:rFonts w:cs="Times New Roman"/>
          <w:sz w:val="28"/>
          <w:szCs w:val="28"/>
        </w:rPr>
        <w:t>е</w:t>
      </w:r>
      <w:r>
        <w:rPr>
          <w:rFonts w:cs="Times New Roman"/>
          <w:color w:val="000000"/>
          <w:sz w:val="28"/>
          <w:szCs w:val="28"/>
        </w:rPr>
        <w:t xml:space="preserve">кту Закону дозволить </w:t>
      </w:r>
      <w:r>
        <w:rPr>
          <w:rFonts w:cs="Times New Roman"/>
          <w:sz w:val="28"/>
          <w:szCs w:val="28"/>
        </w:rPr>
        <w:t>гармонізувати</w:t>
      </w:r>
      <w:r>
        <w:rPr>
          <w:rFonts w:cs="Times New Roman"/>
          <w:color w:val="000000"/>
          <w:sz w:val="28"/>
          <w:szCs w:val="28"/>
        </w:rPr>
        <w:t xml:space="preserve"> законодавство України до положень законодавства Європейського Союзу в частині забезпечення правової охорони об</w:t>
      </w:r>
      <w:r>
        <w:rPr>
          <w:rFonts w:cs="Times New Roman"/>
          <w:sz w:val="28"/>
          <w:szCs w:val="28"/>
        </w:rPr>
        <w:t>’єктів авторського права і суміжних прав</w:t>
      </w:r>
      <w:r>
        <w:rPr>
          <w:rFonts w:cs="Times New Roman"/>
          <w:color w:val="000000"/>
          <w:sz w:val="28"/>
          <w:szCs w:val="28"/>
        </w:rPr>
        <w:t xml:space="preserve">, що регулює відповідні правовідносини; запровадити дієві механізми, що </w:t>
      </w:r>
      <w:r>
        <w:rPr>
          <w:rFonts w:cs="Times New Roman"/>
          <w:sz w:val="28"/>
          <w:szCs w:val="28"/>
        </w:rPr>
        <w:t>дозволяють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створити умови для здійснення та з</w:t>
      </w:r>
      <w:r w:rsidR="007401DF">
        <w:rPr>
          <w:rFonts w:cs="Times New Roman"/>
          <w:sz w:val="28"/>
          <w:szCs w:val="28"/>
        </w:rPr>
        <w:t>ахисту прав та інтересів право</w:t>
      </w:r>
      <w:r>
        <w:rPr>
          <w:rFonts w:cs="Times New Roman"/>
          <w:sz w:val="28"/>
          <w:szCs w:val="28"/>
        </w:rPr>
        <w:t>власників об’єктів</w:t>
      </w:r>
      <w:r>
        <w:rPr>
          <w:rFonts w:cs="Times New Roman"/>
          <w:color w:val="000000"/>
          <w:sz w:val="28"/>
          <w:szCs w:val="28"/>
        </w:rPr>
        <w:t xml:space="preserve"> авторського права і суміжних прав, узгодити положен</w:t>
      </w:r>
      <w:r>
        <w:rPr>
          <w:rFonts w:cs="Times New Roman"/>
          <w:sz w:val="28"/>
          <w:szCs w:val="28"/>
        </w:rPr>
        <w:t xml:space="preserve">ня </w:t>
      </w:r>
      <w:r>
        <w:rPr>
          <w:rFonts w:cs="Times New Roman"/>
          <w:color w:val="000000"/>
          <w:sz w:val="28"/>
          <w:szCs w:val="28"/>
        </w:rPr>
        <w:t xml:space="preserve">законодавства України в частині охорони та захисту авторського права та суміжних прав. </w:t>
      </w:r>
    </w:p>
    <w:p w14:paraId="0000004E" w14:textId="77777777" w:rsidR="008E0374" w:rsidRDefault="008E03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cs="Times New Roman"/>
          <w:color w:val="000000"/>
          <w:sz w:val="28"/>
          <w:szCs w:val="28"/>
        </w:rPr>
      </w:pPr>
    </w:p>
    <w:p w14:paraId="0000004F" w14:textId="77777777" w:rsidR="008E0374" w:rsidRDefault="008E037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  <w:tab w:val="left" w:pos="8124"/>
        </w:tabs>
        <w:spacing w:line="240" w:lineRule="auto"/>
        <w:ind w:left="1" w:hanging="3"/>
        <w:rPr>
          <w:rFonts w:cs="Times New Roman"/>
          <w:color w:val="000000"/>
          <w:sz w:val="28"/>
          <w:szCs w:val="28"/>
        </w:rPr>
      </w:pPr>
    </w:p>
    <w:p w14:paraId="49145CDE" w14:textId="6362DC46" w:rsidR="000A2E29" w:rsidRPr="000F0C6E" w:rsidRDefault="000F0C6E" w:rsidP="000F0C6E">
      <w:pPr>
        <w:ind w:left="1" w:hanging="3"/>
        <w:rPr>
          <w:b/>
          <w:sz w:val="28"/>
        </w:rPr>
      </w:pPr>
      <w:r>
        <w:rPr>
          <w:b/>
          <w:bCs/>
          <w:sz w:val="28"/>
          <w:szCs w:val="28"/>
        </w:rPr>
        <w:t>Народні депутати України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0A2E29" w:rsidRPr="0059230A">
        <w:rPr>
          <w:rStyle w:val="st42"/>
          <w:b/>
          <w:sz w:val="28"/>
        </w:rPr>
        <w:t>Стефанчук Р.О.</w:t>
      </w:r>
      <w:r w:rsidR="000A2E29">
        <w:rPr>
          <w:b/>
          <w:sz w:val="28"/>
        </w:rPr>
        <w:tab/>
      </w:r>
      <w:r>
        <w:rPr>
          <w:b/>
          <w:sz w:val="28"/>
          <w:lang w:val="uk-UA"/>
        </w:rPr>
        <w:t>та інші</w:t>
      </w:r>
      <w:r w:rsidR="000A2E29">
        <w:rPr>
          <w:b/>
          <w:sz w:val="28"/>
        </w:rPr>
        <w:tab/>
      </w:r>
      <w:r w:rsidR="000A2E29">
        <w:rPr>
          <w:b/>
          <w:sz w:val="28"/>
        </w:rPr>
        <w:tab/>
      </w:r>
      <w:r w:rsidR="000A2E29">
        <w:rPr>
          <w:b/>
          <w:sz w:val="28"/>
        </w:rPr>
        <w:tab/>
      </w:r>
      <w:r w:rsidR="000A2E29">
        <w:rPr>
          <w:b/>
          <w:sz w:val="28"/>
        </w:rPr>
        <w:tab/>
      </w:r>
      <w:r w:rsidR="000A2E29">
        <w:rPr>
          <w:b/>
          <w:sz w:val="28"/>
        </w:rPr>
        <w:tab/>
      </w:r>
      <w:r w:rsidR="000A2E29">
        <w:rPr>
          <w:b/>
          <w:sz w:val="28"/>
        </w:rPr>
        <w:tab/>
      </w:r>
      <w:r w:rsidR="000A2E29">
        <w:rPr>
          <w:b/>
          <w:sz w:val="28"/>
        </w:rPr>
        <w:tab/>
      </w:r>
      <w:r w:rsidR="000A2E29">
        <w:rPr>
          <w:b/>
          <w:sz w:val="28"/>
        </w:rPr>
        <w:tab/>
      </w:r>
      <w:r w:rsidR="000A2E29">
        <w:rPr>
          <w:b/>
          <w:sz w:val="28"/>
        </w:rPr>
        <w:tab/>
      </w:r>
    </w:p>
    <w:p w14:paraId="00000050" w14:textId="396C7FED" w:rsidR="008E0374" w:rsidRPr="000A2E29" w:rsidRDefault="008E0374" w:rsidP="00186AF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cs="Times New Roman"/>
          <w:color w:val="000000"/>
          <w:sz w:val="28"/>
          <w:szCs w:val="28"/>
        </w:rPr>
      </w:pPr>
    </w:p>
    <w:sectPr w:rsidR="008E0374" w:rsidRPr="000A2E29">
      <w:headerReference w:type="default" r:id="rId11"/>
      <w:footerReference w:type="even" r:id="rId12"/>
      <w:footerReference w:type="default" r:id="rId13"/>
      <w:pgSz w:w="11906" w:h="16838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B7C44" w14:textId="77777777" w:rsidR="00C76DA6" w:rsidRDefault="00C76DA6">
      <w:pPr>
        <w:spacing w:line="240" w:lineRule="auto"/>
        <w:ind w:left="0" w:hanging="2"/>
      </w:pPr>
      <w:r>
        <w:separator/>
      </w:r>
    </w:p>
  </w:endnote>
  <w:endnote w:type="continuationSeparator" w:id="0">
    <w:p w14:paraId="3EE1B19E" w14:textId="77777777" w:rsidR="00C76DA6" w:rsidRDefault="00C76DA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3" w14:textId="77777777" w:rsidR="008E0374" w:rsidRDefault="00850B7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jc w:val="right"/>
      <w:rPr>
        <w:rFonts w:cs="Times New Roman"/>
        <w:color w:val="000000"/>
      </w:rPr>
    </w:pPr>
    <w:r>
      <w:rPr>
        <w:rFonts w:cs="Times New Roman"/>
        <w:color w:val="000000"/>
      </w:rPr>
      <w:fldChar w:fldCharType="begin"/>
    </w:r>
    <w:r>
      <w:rPr>
        <w:rFonts w:cs="Times New Roman"/>
        <w:color w:val="000000"/>
      </w:rPr>
      <w:instrText>PAGE</w:instrText>
    </w:r>
    <w:r>
      <w:rPr>
        <w:rFonts w:cs="Times New Roman"/>
        <w:color w:val="000000"/>
      </w:rPr>
      <w:fldChar w:fldCharType="end"/>
    </w:r>
  </w:p>
  <w:p w14:paraId="00000054" w14:textId="77777777" w:rsidR="008E0374" w:rsidRDefault="008E037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right="360" w:hanging="2"/>
      <w:rPr>
        <w:rFonts w:cs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5" w14:textId="77777777" w:rsidR="008E0374" w:rsidRDefault="008E037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right="360" w:hanging="2"/>
      <w:rPr>
        <w:rFonts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559CC8" w14:textId="77777777" w:rsidR="00C76DA6" w:rsidRDefault="00C76DA6">
      <w:pPr>
        <w:spacing w:line="240" w:lineRule="auto"/>
        <w:ind w:left="0" w:hanging="2"/>
      </w:pPr>
      <w:r>
        <w:separator/>
      </w:r>
    </w:p>
  </w:footnote>
  <w:footnote w:type="continuationSeparator" w:id="0">
    <w:p w14:paraId="225D69E6" w14:textId="77777777" w:rsidR="00C76DA6" w:rsidRDefault="00C76DA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1" w14:textId="176A14C0" w:rsidR="008E0374" w:rsidRDefault="00850B7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jc w:val="center"/>
      <w:rPr>
        <w:rFonts w:cs="Times New Roman"/>
        <w:color w:val="000000"/>
      </w:rPr>
    </w:pPr>
    <w:r>
      <w:rPr>
        <w:rFonts w:cs="Times New Roman"/>
        <w:color w:val="000000"/>
      </w:rPr>
      <w:fldChar w:fldCharType="begin"/>
    </w:r>
    <w:r>
      <w:rPr>
        <w:rFonts w:cs="Times New Roman"/>
        <w:color w:val="000000"/>
      </w:rPr>
      <w:instrText>PAGE</w:instrText>
    </w:r>
    <w:r>
      <w:rPr>
        <w:rFonts w:cs="Times New Roman"/>
        <w:color w:val="000000"/>
      </w:rPr>
      <w:fldChar w:fldCharType="separate"/>
    </w:r>
    <w:r w:rsidR="00432158">
      <w:rPr>
        <w:rFonts w:cs="Times New Roman"/>
        <w:noProof/>
        <w:color w:val="000000"/>
      </w:rPr>
      <w:t>5</w:t>
    </w:r>
    <w:r>
      <w:rPr>
        <w:rFonts w:cs="Times New Roman"/>
        <w:color w:val="000000"/>
      </w:rPr>
      <w:fldChar w:fldCharType="end"/>
    </w:r>
  </w:p>
  <w:p w14:paraId="00000052" w14:textId="77777777" w:rsidR="008E0374" w:rsidRDefault="008E037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rFonts w:cs="Times New Roman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A3C1B"/>
    <w:multiLevelType w:val="multilevel"/>
    <w:tmpl w:val="19A2C982"/>
    <w:lvl w:ilvl="0">
      <w:start w:val="1"/>
      <w:numFmt w:val="decimal"/>
      <w:lvlText w:val="%1)"/>
      <w:lvlJc w:val="left"/>
      <w:pPr>
        <w:ind w:left="1069" w:hanging="360"/>
      </w:pPr>
      <w:rPr>
        <w:b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1" w15:restartNumberingAfterBreak="0">
    <w:nsid w:val="14AB247E"/>
    <w:multiLevelType w:val="multilevel"/>
    <w:tmpl w:val="55F28374"/>
    <w:lvl w:ilvl="0">
      <w:start w:val="1"/>
      <w:numFmt w:val="decimal"/>
      <w:lvlText w:val="%1)"/>
      <w:lvlJc w:val="left"/>
      <w:pPr>
        <w:ind w:left="92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2" w15:restartNumberingAfterBreak="0">
    <w:nsid w:val="34FC574F"/>
    <w:multiLevelType w:val="multilevel"/>
    <w:tmpl w:val="6628622E"/>
    <w:lvl w:ilvl="0">
      <w:start w:val="1"/>
      <w:numFmt w:val="decimal"/>
      <w:lvlText w:val="%1."/>
      <w:lvlJc w:val="left"/>
      <w:pPr>
        <w:ind w:left="927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74"/>
    <w:rsid w:val="000862B1"/>
    <w:rsid w:val="000A2E29"/>
    <w:rsid w:val="000F0C6E"/>
    <w:rsid w:val="000F1308"/>
    <w:rsid w:val="00186AF9"/>
    <w:rsid w:val="00432158"/>
    <w:rsid w:val="005D7EEE"/>
    <w:rsid w:val="007401DF"/>
    <w:rsid w:val="00850B7A"/>
    <w:rsid w:val="008E0374"/>
    <w:rsid w:val="009231FA"/>
    <w:rsid w:val="00C666F5"/>
    <w:rsid w:val="00C70195"/>
    <w:rsid w:val="00C76DA6"/>
    <w:rsid w:val="00CC63FE"/>
    <w:rsid w:val="00EB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CD85A"/>
  <w15:docId w15:val="{A34E0263-FEE9-4880-8287-93C36D5E8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4"/>
      <w:szCs w:val="24"/>
      <w:lang w:val="ru-RU"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pPr>
      <w:jc w:val="center"/>
    </w:pPr>
    <w:rPr>
      <w:b/>
      <w:bCs/>
      <w:lang w:val="uk-UA"/>
    </w:rPr>
  </w:style>
  <w:style w:type="character" w:customStyle="1" w:styleId="a4">
    <w:name w:val="Назва Знак"/>
    <w:rPr>
      <w:rFonts w:ascii="Times New Roman" w:eastAsia="Times New Roman" w:hAnsi="Times New Roman" w:cs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uk-UA" w:eastAsia="ru-RU"/>
    </w:r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ru-RU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ru-RU"/>
    </w:rPr>
  </w:style>
  <w:style w:type="character" w:styleId="a7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8">
    <w:name w:val="header"/>
    <w:basedOn w:val="a"/>
    <w:qFormat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ru-RU"/>
    </w:rPr>
  </w:style>
  <w:style w:type="paragraph" w:styleId="aa">
    <w:name w:val="List Paragraph"/>
    <w:basedOn w:val="a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qFormat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ad">
    <w:name w:val="Знак Знак"/>
    <w:basedOn w:val="a"/>
    <w:rPr>
      <w:rFonts w:ascii="Verdana" w:hAnsi="Verdana" w:cs="Verdana"/>
      <w:sz w:val="20"/>
      <w:szCs w:val="20"/>
      <w:lang w:val="en-US" w:eastAsia="en-US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character" w:styleId="HTML">
    <w:name w:val="HTML Typewrite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HTML0">
    <w:name w:val="Стандартний HTML;Знак Знак Знак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  <w:lang w:val="uk-UA"/>
    </w:rPr>
  </w:style>
  <w:style w:type="character" w:customStyle="1" w:styleId="HTML1">
    <w:name w:val="Стандартний HTML Знак;Знак Знак Знак Знак"/>
    <w:rPr>
      <w:rFonts w:ascii="Courier New" w:eastAsia="Arial Unicode MS" w:hAnsi="Courier New" w:cs="Courier New"/>
      <w:color w:val="000000"/>
      <w:w w:val="100"/>
      <w:position w:val="-1"/>
      <w:sz w:val="21"/>
      <w:szCs w:val="21"/>
      <w:effect w:val="none"/>
      <w:vertAlign w:val="baseline"/>
      <w:cs w:val="0"/>
      <w:em w:val="none"/>
      <w:lang w:val="uk-UA"/>
    </w:rPr>
  </w:style>
  <w:style w:type="paragraph" w:customStyle="1" w:styleId="10">
    <w:name w:val="Знак1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e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f">
    <w:name w:val="Body Text"/>
    <w:basedOn w:val="a"/>
    <w:qFormat/>
    <w:pPr>
      <w:spacing w:after="120"/>
    </w:pPr>
  </w:style>
  <w:style w:type="character" w:customStyle="1" w:styleId="af0">
    <w:name w:val="Основний текст Знак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paragraph" w:styleId="22">
    <w:name w:val="Body Text 2"/>
    <w:basedOn w:val="a"/>
    <w:qFormat/>
    <w:pPr>
      <w:spacing w:after="120" w:line="480" w:lineRule="auto"/>
    </w:pPr>
  </w:style>
  <w:style w:type="character" w:customStyle="1" w:styleId="23">
    <w:name w:val="Основний текст 2 Знак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paragraph" w:styleId="af1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t42">
    <w:name w:val="st42"/>
    <w:uiPriority w:val="99"/>
    <w:rsid w:val="00186AF9"/>
    <w:rPr>
      <w:rFonts w:ascii="Times New Roman" w:hAnsi="Times New Roman" w:cs="Times New Roman" w:hint="default"/>
      <w:color w:val="000000"/>
    </w:rPr>
  </w:style>
  <w:style w:type="paragraph" w:customStyle="1" w:styleId="StyleZakonu">
    <w:name w:val="StyleZakonu"/>
    <w:basedOn w:val="a"/>
    <w:uiPriority w:val="99"/>
    <w:rsid w:val="000A2E29"/>
    <w:pPr>
      <w:suppressAutoHyphens w:val="0"/>
      <w:spacing w:after="60" w:line="220" w:lineRule="exact"/>
      <w:ind w:leftChars="0" w:left="0" w:firstLineChars="0" w:firstLine="284"/>
      <w:jc w:val="both"/>
      <w:textDirection w:val="lrTb"/>
      <w:textAlignment w:val="auto"/>
      <w:outlineLvl w:val="9"/>
    </w:pPr>
    <w:rPr>
      <w:rFonts w:cs="Times New Roman"/>
      <w:position w:val="0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2bMeYeKD7+yZYgHpfF42/dr/BXw==">AMUW2mVJRhHwnFGdYBPPiIFGiDRXDY+PNSTzXUXyx7XUf6+cRgVRJ6SB6tJ2guvzV9lsGexxj8XwHkfyN+gTj5PbozBdo96Bg/lzDDx8WwQbDM0LaRym809Ujt9sSEdG1SFHdPYB7h0ggQZcBQPzp7QiRawwbNoihkqj0Ysn4N2TnpjzWhXFmR854BbUemCsgSh9jXmmLS0c</go:docsCustomData>
</go:gDocsCustomXmlDataStorage>
</file>

<file path=customXml/itemProps1.xml><?xml version="1.0" encoding="utf-8"?>
<ds:datastoreItem xmlns:ds="http://schemas.openxmlformats.org/officeDocument/2006/customXml" ds:itemID="{B6E5D694-1AE1-450D-8ADF-25E76B497F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1779F2-A624-4A90-A058-96E59F0063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0CFDE6-7202-4BCF-A0E3-83D66A97F7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6485</Words>
  <Characters>3698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2021-06-09T11:16:00Z</dcterms:created>
  <dcterms:modified xsi:type="dcterms:W3CDTF">2021-06-09T11:16:00Z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