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8E1D8F" w:rsidRDefault="00AA1708">
      <w:pPr>
        <w:shd w:val="clear" w:color="auto" w:fill="FFFFFF"/>
        <w:spacing w:after="0" w:line="240" w:lineRule="auto"/>
        <w:jc w:val="center"/>
        <w:rPr>
          <w:rFonts w:ascii="Times New Roman" w:hAnsi="Times New Roman"/>
          <w:b/>
          <w:sz w:val="28"/>
          <w:szCs w:val="28"/>
        </w:rPr>
      </w:pPr>
      <w:bookmarkStart w:id="0" w:name="_GoBack"/>
      <w:bookmarkEnd w:id="0"/>
      <w:r>
        <w:rPr>
          <w:rFonts w:ascii="Times New Roman" w:hAnsi="Times New Roman"/>
          <w:b/>
          <w:sz w:val="28"/>
          <w:szCs w:val="28"/>
        </w:rPr>
        <w:t>ПОЯСНЮВАЛЬНА ЗАПИСКА</w:t>
      </w:r>
    </w:p>
    <w:p w14:paraId="00000002" w14:textId="1D59BAC6" w:rsidR="008E1D8F" w:rsidRDefault="002B4E40">
      <w:pPr>
        <w:pBdr>
          <w:top w:val="nil"/>
          <w:left w:val="nil"/>
          <w:bottom w:val="nil"/>
          <w:right w:val="nil"/>
          <w:between w:val="nil"/>
        </w:pBdr>
        <w:shd w:val="clear" w:color="auto" w:fill="FFFFFF"/>
        <w:spacing w:after="0" w:line="240" w:lineRule="auto"/>
        <w:jc w:val="center"/>
        <w:rPr>
          <w:rFonts w:ascii="Times New Roman" w:hAnsi="Times New Roman"/>
          <w:b/>
          <w:color w:val="000000"/>
          <w:sz w:val="28"/>
          <w:szCs w:val="28"/>
          <w:highlight w:val="white"/>
        </w:rPr>
      </w:pPr>
      <w:r>
        <w:rPr>
          <w:rFonts w:ascii="Times New Roman" w:hAnsi="Times New Roman"/>
          <w:b/>
          <w:color w:val="000000"/>
          <w:sz w:val="28"/>
          <w:szCs w:val="28"/>
          <w:highlight w:val="white"/>
        </w:rPr>
        <w:t>до проє</w:t>
      </w:r>
      <w:r w:rsidR="00AA1708">
        <w:rPr>
          <w:rFonts w:ascii="Times New Roman" w:hAnsi="Times New Roman"/>
          <w:b/>
          <w:color w:val="000000"/>
          <w:sz w:val="28"/>
          <w:szCs w:val="28"/>
          <w:highlight w:val="white"/>
        </w:rPr>
        <w:t xml:space="preserve">кту Закону України </w:t>
      </w:r>
    </w:p>
    <w:p w14:paraId="00000003" w14:textId="77777777" w:rsidR="008E1D8F" w:rsidRDefault="00AA1708">
      <w:pPr>
        <w:spacing w:after="0" w:line="240" w:lineRule="auto"/>
        <w:jc w:val="center"/>
        <w:rPr>
          <w:rFonts w:ascii="Times New Roman" w:hAnsi="Times New Roman"/>
          <w:b/>
          <w:sz w:val="28"/>
          <w:szCs w:val="28"/>
        </w:rPr>
      </w:pPr>
      <w:r>
        <w:rPr>
          <w:b/>
          <w:sz w:val="28"/>
          <w:szCs w:val="28"/>
        </w:rPr>
        <w:t>«</w:t>
      </w:r>
      <w:r>
        <w:rPr>
          <w:rFonts w:ascii="Times New Roman" w:hAnsi="Times New Roman"/>
          <w:b/>
          <w:sz w:val="28"/>
          <w:szCs w:val="28"/>
        </w:rPr>
        <w:t>Про фортифікацію борошна</w:t>
      </w:r>
      <w:r>
        <w:rPr>
          <w:b/>
          <w:sz w:val="28"/>
          <w:szCs w:val="28"/>
        </w:rPr>
        <w:t>»</w:t>
      </w:r>
    </w:p>
    <w:p w14:paraId="00000004" w14:textId="77777777" w:rsidR="008E1D8F" w:rsidRDefault="008E1D8F">
      <w:pPr>
        <w:spacing w:after="0" w:line="240" w:lineRule="auto"/>
        <w:ind w:firstLine="709"/>
        <w:jc w:val="center"/>
        <w:rPr>
          <w:rFonts w:ascii="Times New Roman" w:hAnsi="Times New Roman"/>
          <w:b/>
          <w:sz w:val="28"/>
          <w:szCs w:val="28"/>
          <w:highlight w:val="white"/>
        </w:rPr>
      </w:pPr>
    </w:p>
    <w:p w14:paraId="00000005" w14:textId="2C2C5938" w:rsidR="008E1D8F" w:rsidRDefault="00AA1708">
      <w:pPr>
        <w:shd w:val="clear" w:color="auto" w:fill="FFFFFF"/>
        <w:spacing w:after="0" w:line="240" w:lineRule="auto"/>
        <w:ind w:firstLine="709"/>
        <w:jc w:val="both"/>
        <w:rPr>
          <w:rFonts w:ascii="Times New Roman" w:hAnsi="Times New Roman"/>
          <w:b/>
          <w:sz w:val="28"/>
          <w:szCs w:val="28"/>
        </w:rPr>
      </w:pPr>
      <w:r>
        <w:rPr>
          <w:rFonts w:ascii="Times New Roman" w:hAnsi="Times New Roman"/>
          <w:b/>
          <w:sz w:val="28"/>
          <w:szCs w:val="28"/>
        </w:rPr>
        <w:t>1. Обґрунтув</w:t>
      </w:r>
      <w:r w:rsidR="002B4E40">
        <w:rPr>
          <w:rFonts w:ascii="Times New Roman" w:hAnsi="Times New Roman"/>
          <w:b/>
          <w:sz w:val="28"/>
          <w:szCs w:val="28"/>
        </w:rPr>
        <w:t>ання необхідності прийняття проє</w:t>
      </w:r>
      <w:r>
        <w:rPr>
          <w:rFonts w:ascii="Times New Roman" w:hAnsi="Times New Roman"/>
          <w:b/>
          <w:sz w:val="28"/>
          <w:szCs w:val="28"/>
        </w:rPr>
        <w:t>кту Закону</w:t>
      </w:r>
    </w:p>
    <w:p w14:paraId="00000006" w14:textId="77777777" w:rsidR="008E1D8F" w:rsidRDefault="008E1D8F">
      <w:pPr>
        <w:shd w:val="clear" w:color="auto" w:fill="FFFFFF"/>
        <w:spacing w:after="0" w:line="240" w:lineRule="auto"/>
        <w:ind w:firstLine="709"/>
        <w:jc w:val="both"/>
        <w:rPr>
          <w:rFonts w:ascii="Times New Roman" w:hAnsi="Times New Roman"/>
          <w:sz w:val="28"/>
          <w:szCs w:val="28"/>
        </w:rPr>
      </w:pPr>
    </w:p>
    <w:p w14:paraId="00000007" w14:textId="77777777" w:rsidR="008E1D8F" w:rsidRDefault="00AA1708">
      <w:pPr>
        <w:spacing w:after="0" w:line="240" w:lineRule="auto"/>
        <w:ind w:firstLine="567"/>
        <w:jc w:val="both"/>
        <w:rPr>
          <w:rFonts w:ascii="Times New Roman" w:hAnsi="Times New Roman"/>
          <w:sz w:val="28"/>
          <w:szCs w:val="28"/>
        </w:rPr>
      </w:pPr>
      <w:r>
        <w:rPr>
          <w:rFonts w:ascii="Times New Roman" w:hAnsi="Times New Roman"/>
          <w:sz w:val="28"/>
          <w:szCs w:val="28"/>
        </w:rPr>
        <w:t>Захворювання та стани, пов'язані з нестачею в організмі людини вітамінів, мінеральних речовин та мікроелементів є глобальною проблемою громадського здоров’я у багатьох країнах світу. Дефіцит вітамінів та мікроелементів, необхідних для обміну речовин в організмі, негативно впливає на здоров’я мільйонів людей, цим самим знижуючи інтелектуальний та економічний потенціал нації. Численні дослідження довели, що від дефіциту найбільш важливих мікронутрієнтів (залізо, йод, фолієва кислота, вітамін А тощо) особливо страждають діти і жінки репродуктивного віку.</w:t>
      </w:r>
    </w:p>
    <w:p w14:paraId="00000008" w14:textId="77777777" w:rsidR="008E1D8F" w:rsidRDefault="00AA1708">
      <w:pPr>
        <w:spacing w:after="0" w:line="240" w:lineRule="auto"/>
        <w:ind w:firstLine="567"/>
        <w:jc w:val="both"/>
        <w:rPr>
          <w:rFonts w:ascii="Times New Roman" w:hAnsi="Times New Roman"/>
          <w:sz w:val="28"/>
          <w:szCs w:val="28"/>
        </w:rPr>
      </w:pPr>
      <w:r>
        <w:rPr>
          <w:rFonts w:ascii="Times New Roman" w:hAnsi="Times New Roman"/>
          <w:sz w:val="28"/>
          <w:szCs w:val="28"/>
        </w:rPr>
        <w:t>Розповсюдження дефіциту вітамінів і мінералів серед дітей та жінок вимагала здійснення широкомасштабних заходів з відновлення недостатньої кількості мікронутрієнтів. Тому у 1998 році рішенням Управління продовольства і медикаментів США (FDA) запроваджено обов’язкову фортифікацію (збагачення) борошна фолієвою кислотою. Наступними країнами, які почали збагачувати борошно фолієвою кислотою стали Канада та Чилі. На сьогоднішній день таких держав налічується більш як 80.</w:t>
      </w:r>
    </w:p>
    <w:p w14:paraId="00000009" w14:textId="77777777" w:rsidR="008E1D8F" w:rsidRDefault="00AA1708">
      <w:pPr>
        <w:spacing w:after="0" w:line="240" w:lineRule="auto"/>
        <w:ind w:firstLine="567"/>
        <w:jc w:val="both"/>
        <w:rPr>
          <w:rFonts w:ascii="Times New Roman" w:hAnsi="Times New Roman"/>
          <w:color w:val="8DB3E2"/>
          <w:sz w:val="28"/>
          <w:szCs w:val="28"/>
        </w:rPr>
      </w:pPr>
      <w:r>
        <w:rPr>
          <w:rFonts w:ascii="Times New Roman" w:hAnsi="Times New Roman"/>
          <w:sz w:val="28"/>
          <w:szCs w:val="28"/>
        </w:rPr>
        <w:t xml:space="preserve">Сьогодні в Україні особливо актуальною є проблема вроджених вад розвитку, адже вони є однією із провідних причин малюкової смертності. Так, </w:t>
      </w:r>
      <w:r>
        <w:rPr>
          <w:rFonts w:ascii="Times New Roman" w:hAnsi="Times New Roman"/>
          <w:sz w:val="26"/>
          <w:szCs w:val="26"/>
        </w:rPr>
        <w:t>частота дефектів нервової трубки (спинномозкової кили і аненцефалії)</w:t>
      </w:r>
      <w:r>
        <w:t xml:space="preserve">, </w:t>
      </w:r>
      <w:r>
        <w:rPr>
          <w:rFonts w:ascii="Times New Roman" w:hAnsi="Times New Roman"/>
          <w:sz w:val="28"/>
          <w:szCs w:val="28"/>
        </w:rPr>
        <w:t>які пов‘язані з високою смертністю і довічним паралічем у тих, хто вижив, в Україні найвища</w:t>
      </w:r>
      <w:r>
        <w:rPr>
          <w:rFonts w:ascii="Times New Roman" w:hAnsi="Times New Roman"/>
          <w:sz w:val="26"/>
          <w:szCs w:val="26"/>
        </w:rPr>
        <w:t xml:space="preserve"> у Європі (за даними EUROCAT - мережі ЄС з моніторингу вроджених вад розвитку).</w:t>
      </w:r>
      <w:r>
        <w:rPr>
          <w:rFonts w:ascii="Times New Roman" w:hAnsi="Times New Roman"/>
          <w:color w:val="8DB3E2"/>
          <w:sz w:val="26"/>
          <w:szCs w:val="26"/>
        </w:rPr>
        <w:t xml:space="preserve"> </w:t>
      </w:r>
      <w:r>
        <w:rPr>
          <w:rFonts w:ascii="Times New Roman" w:hAnsi="Times New Roman"/>
          <w:sz w:val="28"/>
          <w:szCs w:val="28"/>
        </w:rPr>
        <w:t>На виникнення більшості вроджених вад у дітей впливають фактори навколишнього середовищ, зокрема, іонізуюча радіація, дефіцит вітамінів та мікроелементів.</w:t>
      </w:r>
    </w:p>
    <w:p w14:paraId="0000000A" w14:textId="77777777" w:rsidR="008E1D8F" w:rsidRDefault="00AA1708">
      <w:pPr>
        <w:spacing w:after="0" w:line="240" w:lineRule="auto"/>
        <w:ind w:firstLine="567"/>
        <w:jc w:val="both"/>
        <w:rPr>
          <w:rFonts w:ascii="Times New Roman" w:hAnsi="Times New Roman"/>
          <w:sz w:val="28"/>
          <w:szCs w:val="28"/>
        </w:rPr>
      </w:pPr>
      <w:r>
        <w:rPr>
          <w:rFonts w:ascii="Times New Roman" w:hAnsi="Times New Roman"/>
          <w:sz w:val="28"/>
          <w:szCs w:val="28"/>
        </w:rPr>
        <w:t>В Україні норми потреб у вітамінах, зокрема і у фолієвій кислоті, встановлені наказом Міністерства охорони здоров’я України № 1073 від 03.09.2017р. «</w:t>
      </w:r>
      <w:r>
        <w:rPr>
          <w:rFonts w:ascii="Times New Roman" w:hAnsi="Times New Roman"/>
          <w:sz w:val="28"/>
          <w:szCs w:val="28"/>
          <w:highlight w:val="white"/>
        </w:rPr>
        <w:t>Про затвердження Норм фізіологічних потреб населення України в основних харчових речовинах і енергії</w:t>
      </w:r>
      <w:r>
        <w:rPr>
          <w:rFonts w:ascii="Times New Roman" w:hAnsi="Times New Roman"/>
          <w:sz w:val="28"/>
          <w:szCs w:val="28"/>
        </w:rPr>
        <w:t xml:space="preserve">». У наказі визначено, що добова потреба дорослого населення   фолієвої кислоти становить 400  мкг. Але ж це за умови достатньої кількості у харчовому раціоні природнього фолату. Проте, загальновідомо, що більшість населення України не має змоги харчуватися раціонально. </w:t>
      </w:r>
    </w:p>
    <w:p w14:paraId="0000000B" w14:textId="77777777" w:rsidR="008E1D8F" w:rsidRDefault="00AA1708">
      <w:pPr>
        <w:spacing w:after="0" w:line="240" w:lineRule="auto"/>
        <w:ind w:firstLine="567"/>
        <w:jc w:val="both"/>
        <w:rPr>
          <w:rFonts w:ascii="Times New Roman" w:hAnsi="Times New Roman"/>
          <w:sz w:val="28"/>
          <w:szCs w:val="28"/>
        </w:rPr>
      </w:pPr>
      <w:r>
        <w:rPr>
          <w:rFonts w:ascii="Times New Roman" w:hAnsi="Times New Roman"/>
          <w:sz w:val="28"/>
          <w:szCs w:val="28"/>
        </w:rPr>
        <w:t xml:space="preserve">14 січня 2013 року МОЗ України затверджено наказ № 15 «Про затвердження Методичних рекомендацій для лікарів загальної практики - сімейної медицини з приводу консультування пацієнтів щодо основних засад здорового харчування», в якому зазначено: «Фолієва кислота. Являється вкрай важливим мікроелементом для еритропоезу. Крім того, достатнє надходження фолату необхідно для попередження вроджених дефектів нервової трубки. Продовжує з’ясовуватись її значення для профілактики інших захворювань: </w:t>
      </w:r>
    </w:p>
    <w:p w14:paraId="0000000C" w14:textId="77777777" w:rsidR="008E1D8F" w:rsidRDefault="00AA1708">
      <w:pPr>
        <w:spacing w:after="0" w:line="240" w:lineRule="auto"/>
        <w:ind w:firstLine="567"/>
        <w:jc w:val="both"/>
        <w:rPr>
          <w:rFonts w:ascii="Times New Roman" w:hAnsi="Times New Roman"/>
          <w:sz w:val="28"/>
          <w:szCs w:val="28"/>
        </w:rPr>
      </w:pPr>
      <w:r>
        <w:rPr>
          <w:rFonts w:ascii="Times New Roman" w:hAnsi="Times New Roman"/>
          <w:sz w:val="28"/>
          <w:szCs w:val="28"/>
        </w:rPr>
        <w:lastRenderedPageBreak/>
        <w:t>1. Дефіцит фолату асоціюється із зростанням ризику дефектів нервової трубки у новонароджених. Для зменшення цього ризику жінки дітородного віку повинні отримувати додатково до харчових джерел 400 мкг фолієвої кислоти щоденно.</w:t>
      </w:r>
    </w:p>
    <w:p w14:paraId="0000000D" w14:textId="77777777" w:rsidR="008E1D8F" w:rsidRDefault="00AA1708">
      <w:pPr>
        <w:spacing w:after="0" w:line="240" w:lineRule="auto"/>
        <w:ind w:firstLine="567"/>
        <w:jc w:val="both"/>
        <w:rPr>
          <w:rFonts w:ascii="Times New Roman" w:hAnsi="Times New Roman"/>
          <w:sz w:val="28"/>
          <w:szCs w:val="28"/>
        </w:rPr>
      </w:pPr>
      <w:r>
        <w:rPr>
          <w:rFonts w:ascii="Times New Roman" w:hAnsi="Times New Roman"/>
          <w:sz w:val="28"/>
          <w:szCs w:val="28"/>
        </w:rPr>
        <w:t xml:space="preserve">2. Достатня кількість природнього фолату у дієті зумовлює зменшення ризику певних локалізацій раку, зокрема, раку ободової кишки». </w:t>
      </w:r>
    </w:p>
    <w:p w14:paraId="0000000E" w14:textId="77777777" w:rsidR="008E1D8F" w:rsidRDefault="00AA1708">
      <w:pPr>
        <w:spacing w:after="0" w:line="240" w:lineRule="auto"/>
        <w:ind w:firstLine="567"/>
        <w:jc w:val="both"/>
        <w:rPr>
          <w:rFonts w:ascii="Times New Roman" w:hAnsi="Times New Roman"/>
          <w:sz w:val="28"/>
          <w:szCs w:val="28"/>
        </w:rPr>
      </w:pPr>
      <w:r>
        <w:rPr>
          <w:rFonts w:ascii="Times New Roman" w:hAnsi="Times New Roman"/>
          <w:sz w:val="26"/>
          <w:szCs w:val="26"/>
        </w:rPr>
        <w:t xml:space="preserve">Важливо зазначити також, що дефіцит </w:t>
      </w:r>
      <w:r>
        <w:rPr>
          <w:rFonts w:ascii="Times New Roman" w:hAnsi="Times New Roman"/>
          <w:sz w:val="28"/>
          <w:szCs w:val="28"/>
        </w:rPr>
        <w:t>фолату призводить до підвищення рівня гомоцистеїну в крові, який пов‘язаний з інсультами/інфарктами - основними причинами смертності населення України. У той же час є докази, що фолієва кислота зменшує ризик інсультів/інфарктів.</w:t>
      </w:r>
    </w:p>
    <w:p w14:paraId="0000000F" w14:textId="77777777" w:rsidR="008E1D8F" w:rsidRDefault="00AA1708">
      <w:pPr>
        <w:spacing w:after="0" w:line="240" w:lineRule="auto"/>
        <w:ind w:firstLine="567"/>
        <w:jc w:val="both"/>
        <w:rPr>
          <w:rFonts w:ascii="Times New Roman" w:hAnsi="Times New Roman"/>
          <w:sz w:val="28"/>
          <w:szCs w:val="28"/>
        </w:rPr>
      </w:pPr>
      <w:r>
        <w:rPr>
          <w:rFonts w:ascii="Times New Roman" w:hAnsi="Times New Roman"/>
          <w:sz w:val="28"/>
          <w:szCs w:val="28"/>
        </w:rPr>
        <w:t xml:space="preserve">Фолієва кислота може потрапляти в організм людини з продуктами харчування, з прийманням таблетованих форм (синтетична фолієва кислота) і з вживанням фортифікованих (збагачених) продуктів харчування. </w:t>
      </w:r>
    </w:p>
    <w:p w14:paraId="00000010" w14:textId="77777777" w:rsidR="008E1D8F" w:rsidRDefault="00AA1708">
      <w:pPr>
        <w:spacing w:after="0" w:line="240" w:lineRule="auto"/>
        <w:ind w:firstLine="567"/>
        <w:jc w:val="both"/>
        <w:rPr>
          <w:rFonts w:ascii="Times New Roman" w:hAnsi="Times New Roman"/>
          <w:sz w:val="28"/>
          <w:szCs w:val="28"/>
        </w:rPr>
      </w:pPr>
      <w:r>
        <w:rPr>
          <w:rFonts w:ascii="Times New Roman" w:hAnsi="Times New Roman"/>
          <w:sz w:val="28"/>
          <w:szCs w:val="28"/>
        </w:rPr>
        <w:t>У харчових продуктах (зелені листові овочі, зернові, бобові, деякі фрукти та печінка) фолієва кислота представлена у вигляді фолатів. Проте фолати нестійкі до теплової обробки, дії ультрафіолетових променів та повітря, близько 70 % фолатів втрачається при приготуванні їжі. Та до того ж значна кількість наших громадян не мають змоги харчуватися збалансовано.</w:t>
      </w:r>
    </w:p>
    <w:p w14:paraId="00000011" w14:textId="77777777" w:rsidR="008E1D8F" w:rsidRDefault="00AA1708">
      <w:pPr>
        <w:spacing w:after="0" w:line="240" w:lineRule="auto"/>
        <w:ind w:firstLine="567"/>
        <w:jc w:val="both"/>
        <w:rPr>
          <w:rFonts w:ascii="Times New Roman" w:hAnsi="Times New Roman"/>
          <w:sz w:val="28"/>
          <w:szCs w:val="28"/>
        </w:rPr>
      </w:pPr>
      <w:r>
        <w:rPr>
          <w:rFonts w:ascii="Times New Roman" w:hAnsi="Times New Roman"/>
          <w:sz w:val="28"/>
          <w:szCs w:val="28"/>
        </w:rPr>
        <w:t>Приймання препарату у вигляді таблеток, капсул (або суплементація) дає швидкий ефект, особливо для профілактики і лікування гіповітамінозів. Суплементацію фолієвою кислотою рекомендовано проводити жінкам до початку вагітності, оскільки дефекти розвитку нервової трубки розвиваються у ранніх термінах вагітності.  Але ж у більшості країн суплементація найдорожча і зазвичай найкоротша стратегія, її використовують переважно в групах ризику. Вживання препаратів фолієвої кислоти до настання вагітності не є ефективним  методом, оскільки майже половина вагітностей є незапланованими.</w:t>
      </w:r>
    </w:p>
    <w:p w14:paraId="00000012" w14:textId="77777777" w:rsidR="008E1D8F" w:rsidRDefault="00AA1708">
      <w:pPr>
        <w:spacing w:after="0" w:line="240" w:lineRule="auto"/>
        <w:ind w:firstLine="567"/>
        <w:jc w:val="both"/>
        <w:rPr>
          <w:rFonts w:ascii="Times New Roman" w:hAnsi="Times New Roman"/>
          <w:sz w:val="28"/>
          <w:szCs w:val="28"/>
        </w:rPr>
      </w:pPr>
      <w:r>
        <w:rPr>
          <w:rFonts w:ascii="Times New Roman" w:hAnsi="Times New Roman"/>
          <w:sz w:val="28"/>
          <w:szCs w:val="28"/>
        </w:rPr>
        <w:t xml:space="preserve">Тому, вже більше як у 80 країнах застосовується один із довготривалих та ефективних методів масової профілактики дефіциту фолієвої кислоти — фортифікація (збагачення) нею продуктів регулярного та масового вживання. </w:t>
      </w:r>
    </w:p>
    <w:p w14:paraId="00000013" w14:textId="77777777" w:rsidR="008E1D8F" w:rsidRDefault="00AA1708">
      <w:pPr>
        <w:spacing w:after="0" w:line="240" w:lineRule="auto"/>
        <w:ind w:firstLine="567"/>
        <w:jc w:val="both"/>
        <w:rPr>
          <w:rFonts w:ascii="Times New Roman" w:hAnsi="Times New Roman"/>
          <w:sz w:val="28"/>
          <w:szCs w:val="28"/>
        </w:rPr>
      </w:pPr>
      <w:r>
        <w:rPr>
          <w:rFonts w:ascii="Times New Roman" w:hAnsi="Times New Roman"/>
          <w:sz w:val="28"/>
          <w:szCs w:val="28"/>
        </w:rPr>
        <w:t>У більшості країн, а саме  в США, Канаді, Чилі, Угорщині, Великій Британії та Франції борошно збагачують фолієвою кислотою — синтетичним аналогом природнього вітаміну В9 як правило, із розрахунку 220 мкг на 100 г борошна, у Китаї фортифікують рис як продукт наймасовішого вживання.</w:t>
      </w:r>
    </w:p>
    <w:p w14:paraId="00000014" w14:textId="77777777" w:rsidR="008E1D8F" w:rsidRDefault="00AA1708">
      <w:pPr>
        <w:spacing w:after="0" w:line="240" w:lineRule="auto"/>
        <w:ind w:firstLine="567"/>
        <w:jc w:val="both"/>
        <w:rPr>
          <w:rFonts w:ascii="Times New Roman" w:hAnsi="Times New Roman"/>
          <w:sz w:val="28"/>
          <w:szCs w:val="28"/>
        </w:rPr>
      </w:pPr>
      <w:r>
        <w:rPr>
          <w:rFonts w:ascii="Times New Roman" w:hAnsi="Times New Roman"/>
          <w:sz w:val="28"/>
          <w:szCs w:val="28"/>
        </w:rPr>
        <w:t xml:space="preserve">Інші вітаміни та мікроелементи, які вносяться в премікс, в залежності від ситуації в конкретній країні включають вітамін A, цинк, вітаміни Д, B12 та інші вітаміни групи B, такі як тіамін, рибофлавін і ніацин. </w:t>
      </w:r>
    </w:p>
    <w:p w14:paraId="00000015" w14:textId="77777777" w:rsidR="008E1D8F" w:rsidRDefault="00AA1708">
      <w:pPr>
        <w:spacing w:after="0" w:line="240" w:lineRule="auto"/>
        <w:ind w:firstLine="567"/>
        <w:jc w:val="both"/>
        <w:rPr>
          <w:rFonts w:ascii="Times New Roman" w:hAnsi="Times New Roman"/>
          <w:sz w:val="28"/>
          <w:szCs w:val="28"/>
        </w:rPr>
      </w:pPr>
      <w:r>
        <w:rPr>
          <w:rFonts w:ascii="Times New Roman" w:hAnsi="Times New Roman"/>
          <w:sz w:val="28"/>
          <w:szCs w:val="28"/>
        </w:rPr>
        <w:t>Наприклад, завдяки добавці ніацину (нікотинова кислота, вітаміни РР, В3) було повністю ліквідовано таке важке захворювання, як пелагра. Якщо в 1938 році в США від пелагри померло 3 тис. осіб, то до 1950 року смертність від неї знизилася до нуля.</w:t>
      </w:r>
    </w:p>
    <w:p w14:paraId="00000016" w14:textId="77777777" w:rsidR="008E1D8F" w:rsidRDefault="00AA1708">
      <w:pPr>
        <w:spacing w:after="0" w:line="240" w:lineRule="auto"/>
        <w:ind w:firstLine="567"/>
        <w:jc w:val="both"/>
        <w:rPr>
          <w:rFonts w:ascii="Times New Roman" w:hAnsi="Times New Roman"/>
          <w:sz w:val="28"/>
          <w:szCs w:val="28"/>
        </w:rPr>
      </w:pPr>
      <w:r>
        <w:rPr>
          <w:rFonts w:ascii="Times New Roman" w:hAnsi="Times New Roman"/>
          <w:sz w:val="28"/>
          <w:szCs w:val="28"/>
        </w:rPr>
        <w:t xml:space="preserve">Як правило, органи охорони здоров'я кожної країни вирішують, які мікронутрієнти потрібно внести в премікс, враховуючи потреби в них </w:t>
      </w:r>
      <w:r>
        <w:rPr>
          <w:rFonts w:ascii="Times New Roman" w:hAnsi="Times New Roman"/>
          <w:sz w:val="28"/>
          <w:szCs w:val="28"/>
        </w:rPr>
        <w:lastRenderedPageBreak/>
        <w:t>населення. Наприклад, багато продуктів зі злаків, бобів і горіхів містять багато фітинової кислоти (фітину), яка гальмує всмоктування заліза і цинку. У тих країнах, де високий рівень споживання продуктів з зерна і бобових, рекомендують збільшити вміст заліза і цинку в премікс.  Фолієва кислота включається в премікс в країнах з високою поширеністю грижі спинного мозку і аненцефалії у дітей. У північних країнах, де люди більшу частину часу проводять у приміщенні і недостатньо на сонці, рекомендують додавання в борошно вітаміну Д.</w:t>
      </w:r>
    </w:p>
    <w:p w14:paraId="00000017" w14:textId="77777777" w:rsidR="008E1D8F" w:rsidRDefault="00AA1708">
      <w:pPr>
        <w:spacing w:after="0" w:line="240" w:lineRule="auto"/>
        <w:ind w:firstLine="567"/>
        <w:jc w:val="both"/>
        <w:rPr>
          <w:rFonts w:ascii="Times New Roman" w:hAnsi="Times New Roman"/>
          <w:sz w:val="28"/>
          <w:szCs w:val="28"/>
        </w:rPr>
      </w:pPr>
      <w:r>
        <w:rPr>
          <w:rFonts w:ascii="Times New Roman" w:hAnsi="Times New Roman"/>
          <w:sz w:val="28"/>
          <w:szCs w:val="28"/>
        </w:rPr>
        <w:t>Всесвітньою організацією охорони здоров’я (ВООЗ) розроблені рекомендації за результатами наукових оглядів, підготовлених для технічного семінару в рамках ініціативи зі збагачення борошна (FFI), що відбувся в місті Стоун Маунтін, штат Джорджія, США в 2008 р, в ході якого різні організації, які активно займаються питанням профілактики і боротьби проти дефіциту вітамінів і мінеральних речовин, а також інші відповідні зацікавлені сторони зібралися і обговорили конкретні практичні рекомендації в якості орієнтира у роботі зі збагачення борошна, яка проводиться в різних країнах громадським, приватним і цивільним секторами. В цих рекомендаціях відображена позиція ВООЗ, Продовольчої і Сільськогосподарської Організації Об'єднаних Націй (ФАО), Дитячого фонду Організації Об'єднаних Націй (ЮНІСЕФ), Глобального альянсу з покращення харчування (GAIN), Ініціативи за поживними мікроелементів (MI), а також FFI. Рекомендації ВООЗ призначені для широкої аудиторії, включаючи харчову промисловість, вчених і урядів, які займаються розробкою і здійсненням програм зі збагачення борошна в якості заходів громадського здоров’я.</w:t>
      </w:r>
    </w:p>
    <w:p w14:paraId="00000018" w14:textId="77777777" w:rsidR="008E1D8F" w:rsidRDefault="00AA1708">
      <w:pPr>
        <w:spacing w:after="0" w:line="240" w:lineRule="auto"/>
        <w:ind w:firstLine="567"/>
        <w:jc w:val="both"/>
        <w:rPr>
          <w:rFonts w:ascii="Times New Roman" w:hAnsi="Times New Roman"/>
          <w:sz w:val="28"/>
          <w:szCs w:val="28"/>
        </w:rPr>
      </w:pPr>
      <w:r>
        <w:rPr>
          <w:rFonts w:ascii="Times New Roman" w:hAnsi="Times New Roman"/>
          <w:sz w:val="28"/>
          <w:szCs w:val="28"/>
        </w:rPr>
        <w:t>У Рекомендаціях ВООЗ зазначено, що збагачення пшеничного і кукурудзяного борошна є профілактичним методом, в якому використовуються продукти харчування, спрямованим на поліпшення з плином часу статусу населення за поживними мікроелементів. Цей метод може використовуватися паралельно з  іншими заходами з тим, щоб знизити дефіцит вітамінів і мінеральних речовин, якщо цей дефіцит є проблемою охорони громадського здоров'я. Програми збагачення пшеничного і кукурудзяного борошна можуть виявитися найбільш ефективними в досягненні визначених зрушень в охороні громадського здоров'я, якщо вони</w:t>
      </w:r>
    </w:p>
    <w:p w14:paraId="00000019" w14:textId="77777777" w:rsidR="008E1D8F" w:rsidRDefault="00AA1708">
      <w:pPr>
        <w:spacing w:after="0" w:line="240" w:lineRule="auto"/>
        <w:jc w:val="both"/>
        <w:rPr>
          <w:rFonts w:ascii="Times New Roman" w:hAnsi="Times New Roman"/>
          <w:sz w:val="28"/>
          <w:szCs w:val="28"/>
        </w:rPr>
      </w:pPr>
      <w:r>
        <w:rPr>
          <w:rFonts w:ascii="Times New Roman" w:hAnsi="Times New Roman"/>
          <w:sz w:val="28"/>
          <w:szCs w:val="28"/>
        </w:rPr>
        <w:t>вводяться на національному рівні і можуть сприяти досягненню міжнародних цілей охорони громадського здоров'я. Програми збагачення борошна повинні передбачати належні програми забезпечення якості та контролю якості(QA/QC) на борошномельних підприємствах, а також моніторинг з боку регулятивних органів і органів охорони здоров'я на предмет вмісту збагачених продуктів харчування і оцінку дієтологічних/медико-санітарних наслідків заходів зі збагачення продуктів харчування. Незважаючи на те, що пшеничне і кукурудзяне борошно може збагачуватися багатьма поживними мікроелементами.</w:t>
      </w:r>
    </w:p>
    <w:p w14:paraId="0000001A" w14:textId="77777777" w:rsidR="008E1D8F" w:rsidRDefault="008E1D8F">
      <w:pPr>
        <w:shd w:val="clear" w:color="auto" w:fill="FFFFFF"/>
        <w:spacing w:after="0" w:line="240" w:lineRule="auto"/>
        <w:ind w:firstLine="709"/>
        <w:jc w:val="both"/>
        <w:rPr>
          <w:rFonts w:ascii="Times New Roman" w:hAnsi="Times New Roman"/>
          <w:sz w:val="28"/>
          <w:szCs w:val="28"/>
        </w:rPr>
      </w:pPr>
    </w:p>
    <w:p w14:paraId="0000001B" w14:textId="74617BAE" w:rsidR="008E1D8F" w:rsidRDefault="002B4E40">
      <w:pPr>
        <w:shd w:val="clear" w:color="auto" w:fill="FFFFFF"/>
        <w:spacing w:after="0" w:line="240" w:lineRule="auto"/>
        <w:ind w:firstLine="709"/>
        <w:jc w:val="both"/>
        <w:rPr>
          <w:rFonts w:ascii="Times New Roman" w:hAnsi="Times New Roman"/>
          <w:b/>
          <w:sz w:val="28"/>
          <w:szCs w:val="28"/>
        </w:rPr>
      </w:pPr>
      <w:r>
        <w:rPr>
          <w:rFonts w:ascii="Times New Roman" w:hAnsi="Times New Roman"/>
          <w:b/>
          <w:sz w:val="28"/>
          <w:szCs w:val="28"/>
        </w:rPr>
        <w:lastRenderedPageBreak/>
        <w:t>2. Цілі та завдання проє</w:t>
      </w:r>
      <w:r w:rsidR="00AA1708">
        <w:rPr>
          <w:rFonts w:ascii="Times New Roman" w:hAnsi="Times New Roman"/>
          <w:b/>
          <w:sz w:val="28"/>
          <w:szCs w:val="28"/>
        </w:rPr>
        <w:t>кту Закону</w:t>
      </w:r>
    </w:p>
    <w:p w14:paraId="0000001C" w14:textId="77777777" w:rsidR="008E1D8F" w:rsidRDefault="00AA1708">
      <w:pPr>
        <w:pBdr>
          <w:top w:val="nil"/>
          <w:left w:val="nil"/>
          <w:bottom w:val="nil"/>
          <w:right w:val="nil"/>
          <w:between w:val="nil"/>
        </w:pBdr>
        <w:shd w:val="clear" w:color="auto" w:fill="FFFFFF"/>
        <w:spacing w:after="0" w:line="240" w:lineRule="auto"/>
        <w:ind w:firstLine="448"/>
        <w:jc w:val="both"/>
        <w:rPr>
          <w:rFonts w:ascii="Times New Roman" w:hAnsi="Times New Roman"/>
          <w:color w:val="000000"/>
          <w:sz w:val="28"/>
          <w:szCs w:val="28"/>
        </w:rPr>
      </w:pPr>
      <w:r>
        <w:rPr>
          <w:rFonts w:ascii="Times New Roman" w:hAnsi="Times New Roman"/>
          <w:color w:val="000000"/>
          <w:sz w:val="28"/>
          <w:szCs w:val="28"/>
        </w:rPr>
        <w:t>Метою прийняття проекту Закону є зміцнення та збереження здоров'я населення, пов'язаних нестачею в організмі людини вітамінів, мінеральних речовин та мікроелементів, поліпшення демографічної ситуації в Україні.</w:t>
      </w:r>
    </w:p>
    <w:p w14:paraId="0000001D" w14:textId="468E499F" w:rsidR="008E1D8F" w:rsidRDefault="00AA1708">
      <w:pPr>
        <w:pBdr>
          <w:top w:val="nil"/>
          <w:left w:val="nil"/>
          <w:bottom w:val="nil"/>
          <w:right w:val="nil"/>
          <w:between w:val="nil"/>
        </w:pBdr>
        <w:shd w:val="clear" w:color="auto" w:fill="FFFFFF"/>
        <w:spacing w:before="280" w:after="240" w:line="240" w:lineRule="auto"/>
        <w:ind w:firstLine="567"/>
        <w:jc w:val="both"/>
        <w:rPr>
          <w:rFonts w:ascii="Times New Roman" w:hAnsi="Times New Roman"/>
          <w:color w:val="000000"/>
          <w:sz w:val="28"/>
          <w:szCs w:val="28"/>
        </w:rPr>
      </w:pPr>
      <w:r>
        <w:rPr>
          <w:rFonts w:ascii="Times New Roman" w:hAnsi="Times New Roman"/>
          <w:b/>
          <w:color w:val="000000"/>
          <w:sz w:val="28"/>
          <w:szCs w:val="28"/>
        </w:rPr>
        <w:t>3. Загальна характе</w:t>
      </w:r>
      <w:r w:rsidR="002B4E40">
        <w:rPr>
          <w:rFonts w:ascii="Times New Roman" w:hAnsi="Times New Roman"/>
          <w:b/>
          <w:color w:val="000000"/>
          <w:sz w:val="28"/>
          <w:szCs w:val="28"/>
        </w:rPr>
        <w:t>ристика і основні положення проє</w:t>
      </w:r>
      <w:r>
        <w:rPr>
          <w:rFonts w:ascii="Times New Roman" w:hAnsi="Times New Roman"/>
          <w:b/>
          <w:color w:val="000000"/>
          <w:sz w:val="28"/>
          <w:szCs w:val="28"/>
        </w:rPr>
        <w:t>кту Закону</w:t>
      </w:r>
    </w:p>
    <w:p w14:paraId="0000001E" w14:textId="77777777" w:rsidR="008E1D8F" w:rsidRDefault="00AA1708">
      <w:pPr>
        <w:pBdr>
          <w:top w:val="nil"/>
          <w:left w:val="nil"/>
          <w:bottom w:val="nil"/>
          <w:right w:val="nil"/>
          <w:between w:val="nil"/>
        </w:pBdr>
        <w:shd w:val="clear" w:color="auto" w:fill="FFFFFF"/>
        <w:spacing w:after="0" w:line="240" w:lineRule="auto"/>
        <w:ind w:firstLine="709"/>
        <w:jc w:val="both"/>
        <w:rPr>
          <w:rFonts w:ascii="Times New Roman" w:hAnsi="Times New Roman"/>
          <w:color w:val="000000"/>
          <w:sz w:val="28"/>
          <w:szCs w:val="28"/>
          <w:highlight w:val="white"/>
        </w:rPr>
      </w:pPr>
      <w:r>
        <w:rPr>
          <w:rFonts w:ascii="Times New Roman" w:hAnsi="Times New Roman"/>
          <w:color w:val="000000"/>
          <w:sz w:val="28"/>
          <w:szCs w:val="28"/>
          <w:highlight w:val="white"/>
        </w:rPr>
        <w:t xml:space="preserve">Законопроектом пропонується визначення </w:t>
      </w:r>
      <w:r>
        <w:rPr>
          <w:rFonts w:ascii="Times New Roman" w:hAnsi="Times New Roman"/>
          <w:color w:val="000000"/>
          <w:sz w:val="28"/>
          <w:szCs w:val="28"/>
        </w:rPr>
        <w:t>правових, економічних та організаційних засад забезпечення населення безпечним та якісним борошном збагаченим вітамінами, мінеральними речовинами та мікроелементами</w:t>
      </w:r>
      <w:r>
        <w:rPr>
          <w:rFonts w:ascii="Times New Roman" w:hAnsi="Times New Roman"/>
          <w:color w:val="000000"/>
          <w:sz w:val="28"/>
          <w:szCs w:val="28"/>
          <w:highlight w:val="white"/>
        </w:rPr>
        <w:t xml:space="preserve">, а саме: </w:t>
      </w:r>
    </w:p>
    <w:p w14:paraId="0000001F" w14:textId="77777777" w:rsidR="008E1D8F" w:rsidRDefault="00AA1708">
      <w:pPr>
        <w:pBdr>
          <w:top w:val="nil"/>
          <w:left w:val="nil"/>
          <w:bottom w:val="nil"/>
          <w:right w:val="nil"/>
          <w:between w:val="nil"/>
        </w:pBdr>
        <w:shd w:val="clear" w:color="auto" w:fill="FFFFFF"/>
        <w:spacing w:after="0" w:line="240" w:lineRule="auto"/>
        <w:ind w:firstLine="709"/>
        <w:jc w:val="both"/>
        <w:rPr>
          <w:rFonts w:ascii="Times New Roman" w:hAnsi="Times New Roman"/>
          <w:color w:val="000000"/>
          <w:sz w:val="28"/>
          <w:szCs w:val="28"/>
          <w:highlight w:val="white"/>
        </w:rPr>
      </w:pPr>
      <w:r>
        <w:rPr>
          <w:rFonts w:ascii="Times New Roman" w:hAnsi="Times New Roman"/>
          <w:color w:val="000000"/>
          <w:sz w:val="28"/>
          <w:szCs w:val="28"/>
          <w:highlight w:val="white"/>
        </w:rPr>
        <w:t xml:space="preserve">розділ І визначає понятійний апарат, сферу дії Закону та запровадження в Україні обов’язкової фортифікації пшеничного борошна вищого та першого сортів </w:t>
      </w:r>
      <w:r>
        <w:rPr>
          <w:rFonts w:ascii="Times New Roman" w:hAnsi="Times New Roman"/>
          <w:color w:val="000000"/>
          <w:sz w:val="28"/>
          <w:szCs w:val="28"/>
        </w:rPr>
        <w:t>фолієвою кислотою (вітаміном В</w:t>
      </w:r>
      <w:r>
        <w:rPr>
          <w:rFonts w:ascii="Times New Roman" w:hAnsi="Times New Roman"/>
          <w:color w:val="000000"/>
          <w:sz w:val="28"/>
          <w:szCs w:val="28"/>
          <w:vertAlign w:val="subscript"/>
        </w:rPr>
        <w:t>9</w:t>
      </w:r>
      <w:r>
        <w:rPr>
          <w:rFonts w:ascii="Times New Roman" w:hAnsi="Times New Roman"/>
          <w:color w:val="000000"/>
          <w:sz w:val="28"/>
          <w:szCs w:val="28"/>
        </w:rPr>
        <w:t>);</w:t>
      </w:r>
    </w:p>
    <w:p w14:paraId="00000020" w14:textId="77777777" w:rsidR="008E1D8F" w:rsidRDefault="00AA1708">
      <w:pPr>
        <w:spacing w:after="0" w:line="240" w:lineRule="auto"/>
        <w:ind w:firstLine="567"/>
        <w:jc w:val="both"/>
        <w:rPr>
          <w:rFonts w:ascii="Times New Roman" w:hAnsi="Times New Roman"/>
          <w:sz w:val="28"/>
          <w:szCs w:val="28"/>
        </w:rPr>
      </w:pPr>
      <w:r>
        <w:rPr>
          <w:rFonts w:ascii="Times New Roman" w:hAnsi="Times New Roman"/>
          <w:color w:val="232323"/>
          <w:sz w:val="28"/>
          <w:szCs w:val="28"/>
          <w:highlight w:val="white"/>
        </w:rPr>
        <w:t xml:space="preserve">розділ ІІ визначає </w:t>
      </w:r>
      <w:r>
        <w:rPr>
          <w:rFonts w:ascii="Times New Roman" w:hAnsi="Times New Roman"/>
          <w:color w:val="212121"/>
          <w:sz w:val="28"/>
          <w:szCs w:val="28"/>
        </w:rPr>
        <w:t>державну політику у сфері фортифікації борошна, а також повноваження Кабінету Міністрів України</w:t>
      </w:r>
      <w:r>
        <w:rPr>
          <w:rFonts w:ascii="Times New Roman" w:hAnsi="Times New Roman"/>
          <w:color w:val="000000"/>
          <w:sz w:val="28"/>
          <w:szCs w:val="28"/>
        </w:rPr>
        <w:t>, центральних органів виконавчої влади, місцевих державних адміністрацій та органів місцевого самоврядування</w:t>
      </w:r>
      <w:r>
        <w:rPr>
          <w:rFonts w:ascii="Times New Roman" w:hAnsi="Times New Roman"/>
          <w:color w:val="000000"/>
          <w:sz w:val="28"/>
          <w:szCs w:val="28"/>
          <w:highlight w:val="white"/>
        </w:rPr>
        <w:t>;</w:t>
      </w:r>
      <w:r>
        <w:rPr>
          <w:rFonts w:ascii="Times New Roman" w:hAnsi="Times New Roman"/>
          <w:sz w:val="28"/>
          <w:szCs w:val="28"/>
        </w:rPr>
        <w:t xml:space="preserve"> державний контроль за безпекою та якістю збагаченого борошна; забезпечення безпеки та якості збагаченого борошна; </w:t>
      </w:r>
    </w:p>
    <w:p w14:paraId="00000021" w14:textId="77777777" w:rsidR="008E1D8F" w:rsidRDefault="00AA1708">
      <w:pPr>
        <w:spacing w:after="0" w:line="240" w:lineRule="auto"/>
        <w:ind w:firstLine="448"/>
        <w:jc w:val="both"/>
        <w:rPr>
          <w:rFonts w:ascii="Times New Roman" w:hAnsi="Times New Roman"/>
          <w:sz w:val="28"/>
          <w:szCs w:val="28"/>
        </w:rPr>
      </w:pPr>
      <w:r>
        <w:rPr>
          <w:rFonts w:ascii="Times New Roman" w:hAnsi="Times New Roman"/>
          <w:sz w:val="28"/>
          <w:szCs w:val="28"/>
          <w:highlight w:val="white"/>
        </w:rPr>
        <w:t xml:space="preserve">розділ ІІІ визначає обов’язки суб’єктів господарювання у сфері </w:t>
      </w:r>
      <w:r>
        <w:rPr>
          <w:rFonts w:ascii="Times New Roman" w:hAnsi="Times New Roman"/>
          <w:sz w:val="28"/>
          <w:szCs w:val="28"/>
        </w:rPr>
        <w:t>забезпечення безпеки та якості збагаченого борошна та вимоги до упаковки та маркування, а також встановлює, що реклама некомерційного характеру, спрямована на профілактику</w:t>
      </w:r>
      <w:r>
        <w:rPr>
          <w:rFonts w:ascii="Times New Roman" w:hAnsi="Times New Roman"/>
          <w:sz w:val="28"/>
          <w:szCs w:val="28"/>
          <w:highlight w:val="white"/>
        </w:rPr>
        <w:t xml:space="preserve"> мікронутрієнтної недостатності</w:t>
      </w:r>
      <w:r>
        <w:rPr>
          <w:rFonts w:ascii="Times New Roman" w:hAnsi="Times New Roman"/>
          <w:sz w:val="28"/>
          <w:szCs w:val="28"/>
        </w:rPr>
        <w:t xml:space="preserve"> серед населення, є соціальною рекламною;</w:t>
      </w:r>
    </w:p>
    <w:p w14:paraId="00000022" w14:textId="77777777" w:rsidR="008E1D8F" w:rsidRDefault="00AA1708">
      <w:pPr>
        <w:spacing w:after="0" w:line="240" w:lineRule="auto"/>
        <w:jc w:val="both"/>
        <w:rPr>
          <w:rFonts w:ascii="Times New Roman" w:hAnsi="Times New Roman"/>
          <w:color w:val="000000"/>
          <w:sz w:val="28"/>
          <w:szCs w:val="28"/>
        </w:rPr>
      </w:pPr>
      <w:r>
        <w:rPr>
          <w:rFonts w:ascii="Times New Roman" w:hAnsi="Times New Roman"/>
          <w:sz w:val="28"/>
          <w:szCs w:val="28"/>
          <w:highlight w:val="white"/>
        </w:rPr>
        <w:t xml:space="preserve"> </w:t>
      </w:r>
      <w:r>
        <w:rPr>
          <w:rFonts w:ascii="Times New Roman" w:hAnsi="Times New Roman"/>
          <w:sz w:val="28"/>
          <w:szCs w:val="28"/>
        </w:rPr>
        <w:t>відповідальність за порушення законодавства у сфері фортифікації борошна;</w:t>
      </w:r>
    </w:p>
    <w:p w14:paraId="00000023" w14:textId="77777777" w:rsidR="008E1D8F" w:rsidRDefault="00AA1708">
      <w:pPr>
        <w:pBdr>
          <w:top w:val="nil"/>
          <w:left w:val="nil"/>
          <w:bottom w:val="nil"/>
          <w:right w:val="nil"/>
          <w:between w:val="nil"/>
        </w:pBdr>
        <w:shd w:val="clear" w:color="auto" w:fill="FFFFFF"/>
        <w:spacing w:after="0" w:line="240" w:lineRule="auto"/>
        <w:ind w:firstLine="567"/>
        <w:jc w:val="both"/>
        <w:rPr>
          <w:rFonts w:ascii="Times New Roman" w:hAnsi="Times New Roman"/>
          <w:color w:val="000000"/>
          <w:sz w:val="28"/>
          <w:szCs w:val="28"/>
          <w:highlight w:val="white"/>
        </w:rPr>
      </w:pPr>
      <w:r>
        <w:rPr>
          <w:rFonts w:ascii="Times New Roman" w:hAnsi="Times New Roman"/>
          <w:color w:val="000000"/>
          <w:sz w:val="28"/>
          <w:szCs w:val="28"/>
          <w:highlight w:val="white"/>
        </w:rPr>
        <w:t xml:space="preserve">розділ IV визначає </w:t>
      </w:r>
      <w:r>
        <w:rPr>
          <w:rFonts w:ascii="Times New Roman" w:hAnsi="Times New Roman"/>
          <w:color w:val="000000"/>
          <w:sz w:val="28"/>
          <w:szCs w:val="28"/>
        </w:rPr>
        <w:t>відповідальність за порушення закону у сфері фортифікації борошна;</w:t>
      </w:r>
    </w:p>
    <w:p w14:paraId="00000024" w14:textId="77777777" w:rsidR="008E1D8F" w:rsidRDefault="00AA1708">
      <w:pPr>
        <w:pBdr>
          <w:top w:val="nil"/>
          <w:left w:val="nil"/>
          <w:bottom w:val="nil"/>
          <w:right w:val="nil"/>
          <w:between w:val="nil"/>
        </w:pBdr>
        <w:shd w:val="clear" w:color="auto" w:fill="FFFFFF"/>
        <w:spacing w:after="0" w:line="240" w:lineRule="auto"/>
        <w:ind w:firstLine="567"/>
        <w:jc w:val="both"/>
        <w:rPr>
          <w:rFonts w:ascii="Times New Roman" w:hAnsi="Times New Roman"/>
          <w:color w:val="000000"/>
          <w:sz w:val="28"/>
          <w:szCs w:val="28"/>
        </w:rPr>
      </w:pPr>
      <w:r>
        <w:rPr>
          <w:rFonts w:ascii="Times New Roman" w:hAnsi="Times New Roman"/>
          <w:color w:val="000000"/>
          <w:sz w:val="28"/>
          <w:szCs w:val="28"/>
          <w:highlight w:val="white"/>
        </w:rPr>
        <w:t>розділом V «Прикінцеві та перехідні положення» визначається, що обов’язкова фортифікація фолієвою кислотою (вітаміном В</w:t>
      </w:r>
      <w:r>
        <w:rPr>
          <w:rFonts w:ascii="Times New Roman" w:hAnsi="Times New Roman"/>
          <w:color w:val="000000"/>
          <w:sz w:val="28"/>
          <w:szCs w:val="28"/>
          <w:highlight w:val="white"/>
          <w:vertAlign w:val="subscript"/>
        </w:rPr>
        <w:t>9</w:t>
      </w:r>
      <w:r>
        <w:rPr>
          <w:rFonts w:ascii="Times New Roman" w:hAnsi="Times New Roman"/>
          <w:color w:val="000000"/>
          <w:sz w:val="28"/>
          <w:szCs w:val="28"/>
          <w:highlight w:val="white"/>
        </w:rPr>
        <w:t xml:space="preserve">) </w:t>
      </w:r>
      <w:r>
        <w:rPr>
          <w:rFonts w:ascii="Times New Roman" w:hAnsi="Times New Roman"/>
          <w:color w:val="000000"/>
          <w:sz w:val="28"/>
          <w:szCs w:val="28"/>
        </w:rPr>
        <w:t xml:space="preserve">пшеничного борошна вищого і першого сортів, що виробляється суб’єктами господарювання </w:t>
      </w:r>
      <w:r>
        <w:rPr>
          <w:rFonts w:ascii="Times New Roman" w:hAnsi="Times New Roman"/>
          <w:color w:val="000000"/>
          <w:sz w:val="28"/>
          <w:szCs w:val="28"/>
          <w:highlight w:val="white"/>
        </w:rPr>
        <w:t>вводиться поетапно:</w:t>
      </w:r>
    </w:p>
    <w:p w14:paraId="00000025" w14:textId="4A0C841F" w:rsidR="008E1D8F" w:rsidRDefault="00AA1708">
      <w:pPr>
        <w:pBdr>
          <w:top w:val="nil"/>
          <w:left w:val="nil"/>
          <w:bottom w:val="nil"/>
          <w:right w:val="nil"/>
          <w:between w:val="nil"/>
        </w:pBdr>
        <w:shd w:val="clear" w:color="auto" w:fill="FFFFFF"/>
        <w:spacing w:after="0" w:line="240" w:lineRule="auto"/>
        <w:ind w:firstLine="567"/>
        <w:jc w:val="both"/>
        <w:rPr>
          <w:rFonts w:ascii="Times New Roman" w:hAnsi="Times New Roman"/>
          <w:color w:val="000000"/>
          <w:sz w:val="28"/>
          <w:szCs w:val="28"/>
          <w:highlight w:val="white"/>
        </w:rPr>
      </w:pPr>
      <w:r>
        <w:rPr>
          <w:rFonts w:ascii="Times New Roman" w:hAnsi="Times New Roman"/>
          <w:color w:val="000000"/>
          <w:sz w:val="28"/>
          <w:szCs w:val="28"/>
          <w:highlight w:val="white"/>
        </w:rPr>
        <w:t>1) з потужністю понад 150 тон зерна на добу з 1 січня 202</w:t>
      </w:r>
      <w:r w:rsidR="0096177F">
        <w:rPr>
          <w:rFonts w:ascii="Times New Roman" w:hAnsi="Times New Roman"/>
          <w:color w:val="000000"/>
          <w:sz w:val="28"/>
          <w:szCs w:val="28"/>
          <w:highlight w:val="white"/>
        </w:rPr>
        <w:t>2</w:t>
      </w:r>
      <w:r>
        <w:rPr>
          <w:rFonts w:ascii="Times New Roman" w:hAnsi="Times New Roman"/>
          <w:color w:val="000000"/>
          <w:sz w:val="28"/>
          <w:szCs w:val="28"/>
          <w:highlight w:val="white"/>
        </w:rPr>
        <w:t xml:space="preserve"> року;</w:t>
      </w:r>
    </w:p>
    <w:p w14:paraId="00000026" w14:textId="66C9DB66" w:rsidR="008E1D8F" w:rsidRDefault="00AA1708">
      <w:pPr>
        <w:pBdr>
          <w:top w:val="nil"/>
          <w:left w:val="nil"/>
          <w:bottom w:val="nil"/>
          <w:right w:val="nil"/>
          <w:between w:val="nil"/>
        </w:pBdr>
        <w:shd w:val="clear" w:color="auto" w:fill="FFFFFF"/>
        <w:spacing w:after="0" w:line="240" w:lineRule="auto"/>
        <w:ind w:firstLine="567"/>
        <w:jc w:val="both"/>
        <w:rPr>
          <w:rFonts w:ascii="Times New Roman" w:hAnsi="Times New Roman"/>
          <w:color w:val="000000"/>
          <w:sz w:val="28"/>
          <w:szCs w:val="28"/>
          <w:highlight w:val="white"/>
        </w:rPr>
      </w:pPr>
      <w:r>
        <w:rPr>
          <w:rFonts w:ascii="Times New Roman" w:hAnsi="Times New Roman"/>
          <w:color w:val="000000"/>
          <w:sz w:val="28"/>
          <w:szCs w:val="28"/>
          <w:highlight w:val="white"/>
        </w:rPr>
        <w:t>2) потужністю від 50 до 150 тон зерна на добу з 1 липня 202</w:t>
      </w:r>
      <w:r w:rsidR="0096177F">
        <w:rPr>
          <w:rFonts w:ascii="Times New Roman" w:hAnsi="Times New Roman"/>
          <w:color w:val="000000"/>
          <w:sz w:val="28"/>
          <w:szCs w:val="28"/>
          <w:highlight w:val="white"/>
        </w:rPr>
        <w:t>2</w:t>
      </w:r>
      <w:r>
        <w:rPr>
          <w:rFonts w:ascii="Times New Roman" w:hAnsi="Times New Roman"/>
          <w:color w:val="000000"/>
          <w:sz w:val="28"/>
          <w:szCs w:val="28"/>
          <w:highlight w:val="white"/>
        </w:rPr>
        <w:t xml:space="preserve"> року;</w:t>
      </w:r>
    </w:p>
    <w:p w14:paraId="00000027" w14:textId="45D55F5E" w:rsidR="008E1D8F" w:rsidRDefault="00AA1708">
      <w:pPr>
        <w:pBdr>
          <w:top w:val="nil"/>
          <w:left w:val="nil"/>
          <w:bottom w:val="nil"/>
          <w:right w:val="nil"/>
          <w:between w:val="nil"/>
        </w:pBdr>
        <w:shd w:val="clear" w:color="auto" w:fill="FFFFFF"/>
        <w:spacing w:after="0" w:line="240" w:lineRule="auto"/>
        <w:ind w:firstLine="567"/>
        <w:jc w:val="both"/>
        <w:rPr>
          <w:rFonts w:ascii="Times New Roman" w:hAnsi="Times New Roman"/>
          <w:color w:val="000000"/>
          <w:sz w:val="28"/>
          <w:szCs w:val="28"/>
          <w:highlight w:val="white"/>
        </w:rPr>
      </w:pPr>
      <w:r>
        <w:rPr>
          <w:rFonts w:ascii="Times New Roman" w:hAnsi="Times New Roman"/>
          <w:color w:val="000000"/>
          <w:sz w:val="28"/>
          <w:szCs w:val="28"/>
          <w:highlight w:val="white"/>
        </w:rPr>
        <w:t>3) потужністю менше 50 тон зерна на добу з 1 січня 202</w:t>
      </w:r>
      <w:r w:rsidR="0096177F">
        <w:rPr>
          <w:rFonts w:ascii="Times New Roman" w:hAnsi="Times New Roman"/>
          <w:color w:val="000000"/>
          <w:sz w:val="28"/>
          <w:szCs w:val="28"/>
          <w:highlight w:val="white"/>
        </w:rPr>
        <w:t>3</w:t>
      </w:r>
      <w:r>
        <w:rPr>
          <w:rFonts w:ascii="Times New Roman" w:hAnsi="Times New Roman"/>
          <w:color w:val="000000"/>
          <w:sz w:val="28"/>
          <w:szCs w:val="28"/>
          <w:highlight w:val="white"/>
        </w:rPr>
        <w:t xml:space="preserve"> року.</w:t>
      </w:r>
    </w:p>
    <w:p w14:paraId="00000028" w14:textId="77777777" w:rsidR="008E1D8F" w:rsidRDefault="008E1D8F">
      <w:pPr>
        <w:pBdr>
          <w:top w:val="nil"/>
          <w:left w:val="nil"/>
          <w:bottom w:val="nil"/>
          <w:right w:val="nil"/>
          <w:between w:val="nil"/>
        </w:pBdr>
        <w:shd w:val="clear" w:color="auto" w:fill="FFFFFF"/>
        <w:spacing w:after="0" w:line="240" w:lineRule="auto"/>
        <w:ind w:firstLine="567"/>
        <w:jc w:val="both"/>
        <w:rPr>
          <w:rFonts w:ascii="Times New Roman" w:hAnsi="Times New Roman"/>
          <w:color w:val="000000"/>
          <w:sz w:val="28"/>
          <w:szCs w:val="28"/>
        </w:rPr>
      </w:pPr>
    </w:p>
    <w:p w14:paraId="00000029" w14:textId="77777777" w:rsidR="008E1D8F" w:rsidRDefault="00AA1708">
      <w:pPr>
        <w:shd w:val="clear" w:color="auto" w:fill="FFFFFF"/>
        <w:spacing w:after="0" w:line="240" w:lineRule="auto"/>
        <w:ind w:firstLine="709"/>
        <w:jc w:val="both"/>
        <w:rPr>
          <w:rFonts w:ascii="Times New Roman" w:hAnsi="Times New Roman"/>
          <w:sz w:val="28"/>
          <w:szCs w:val="28"/>
        </w:rPr>
      </w:pPr>
      <w:r>
        <w:rPr>
          <w:rFonts w:ascii="Times New Roman" w:hAnsi="Times New Roman"/>
          <w:b/>
          <w:sz w:val="28"/>
          <w:szCs w:val="28"/>
        </w:rPr>
        <w:t>4. Стан нормативно-правової бази у даній сфері правового регулювання</w:t>
      </w:r>
    </w:p>
    <w:p w14:paraId="0000002A" w14:textId="77777777" w:rsidR="008E1D8F" w:rsidRDefault="008E1D8F">
      <w:pPr>
        <w:shd w:val="clear" w:color="auto" w:fill="FFFFFF"/>
        <w:spacing w:after="0" w:line="240" w:lineRule="auto"/>
        <w:ind w:firstLine="709"/>
        <w:jc w:val="both"/>
        <w:rPr>
          <w:rFonts w:ascii="Times New Roman" w:hAnsi="Times New Roman"/>
          <w:sz w:val="28"/>
          <w:szCs w:val="28"/>
        </w:rPr>
      </w:pPr>
    </w:p>
    <w:p w14:paraId="0000002B" w14:textId="77777777" w:rsidR="008E1D8F" w:rsidRDefault="00AA1708">
      <w:pPr>
        <w:shd w:val="clear" w:color="auto" w:fill="FFFFFF"/>
        <w:spacing w:after="0" w:line="240" w:lineRule="auto"/>
        <w:ind w:firstLine="709"/>
        <w:jc w:val="both"/>
        <w:rPr>
          <w:rFonts w:ascii="Times New Roman" w:hAnsi="Times New Roman"/>
          <w:sz w:val="28"/>
          <w:szCs w:val="28"/>
        </w:rPr>
      </w:pPr>
      <w:r>
        <w:rPr>
          <w:rFonts w:ascii="Times New Roman" w:hAnsi="Times New Roman"/>
          <w:sz w:val="28"/>
          <w:szCs w:val="28"/>
        </w:rPr>
        <w:t xml:space="preserve">На сьогодні відносини, що належать до предмету правового регулювання проекту Закону частково врегульовані нормами, що містяться у Законі України «Основи законодавства України про охорону здоров’я», </w:t>
      </w:r>
      <w:r>
        <w:rPr>
          <w:rFonts w:ascii="Times New Roman" w:hAnsi="Times New Roman"/>
          <w:color w:val="000000"/>
          <w:sz w:val="28"/>
          <w:szCs w:val="28"/>
        </w:rPr>
        <w:t xml:space="preserve">Законі України </w:t>
      </w:r>
      <w:r>
        <w:rPr>
          <w:rFonts w:ascii="Times New Roman" w:hAnsi="Times New Roman"/>
          <w:sz w:val="28"/>
          <w:szCs w:val="28"/>
        </w:rPr>
        <w:t xml:space="preserve">«Про основні принципи та вимоги до безпечності та якості харчових </w:t>
      </w:r>
      <w:r>
        <w:rPr>
          <w:rFonts w:ascii="Times New Roman" w:hAnsi="Times New Roman"/>
          <w:sz w:val="28"/>
          <w:szCs w:val="28"/>
        </w:rPr>
        <w:lastRenderedPageBreak/>
        <w:t>продуктів</w:t>
      </w:r>
      <w:r>
        <w:rPr>
          <w:rFonts w:ascii="Times New Roman" w:hAnsi="Times New Roman"/>
          <w:color w:val="000000"/>
          <w:sz w:val="28"/>
          <w:szCs w:val="28"/>
          <w:highlight w:val="white"/>
        </w:rPr>
        <w:t xml:space="preserve">», </w:t>
      </w:r>
      <w:r>
        <w:rPr>
          <w:rFonts w:ascii="Times New Roman" w:hAnsi="Times New Roman"/>
          <w:sz w:val="28"/>
          <w:szCs w:val="28"/>
        </w:rPr>
        <w:t>Законі України «Про захист прав споживачів»</w:t>
      </w:r>
      <w:r>
        <w:rPr>
          <w:rFonts w:ascii="Times New Roman" w:hAnsi="Times New Roman"/>
          <w:color w:val="000000"/>
          <w:sz w:val="28"/>
          <w:szCs w:val="28"/>
          <w:highlight w:val="white"/>
        </w:rPr>
        <w:t xml:space="preserve"> </w:t>
      </w:r>
      <w:r>
        <w:rPr>
          <w:rFonts w:ascii="Times New Roman" w:hAnsi="Times New Roman"/>
          <w:sz w:val="28"/>
          <w:szCs w:val="28"/>
        </w:rPr>
        <w:t>та інших нормативно - правових актах України.</w:t>
      </w:r>
    </w:p>
    <w:p w14:paraId="0000002C" w14:textId="77777777" w:rsidR="008E1D8F" w:rsidRDefault="008E1D8F">
      <w:pPr>
        <w:shd w:val="clear" w:color="auto" w:fill="FFFFFF"/>
        <w:spacing w:after="0" w:line="240" w:lineRule="auto"/>
        <w:ind w:firstLine="709"/>
        <w:jc w:val="both"/>
        <w:rPr>
          <w:rFonts w:ascii="Times New Roman" w:hAnsi="Times New Roman"/>
          <w:b/>
          <w:sz w:val="28"/>
          <w:szCs w:val="28"/>
        </w:rPr>
      </w:pPr>
    </w:p>
    <w:p w14:paraId="0000002D" w14:textId="08A7D1FD" w:rsidR="008E1D8F" w:rsidRDefault="00AA1708">
      <w:pPr>
        <w:shd w:val="clear" w:color="auto" w:fill="FFFFFF"/>
        <w:spacing w:after="0" w:line="240" w:lineRule="auto"/>
        <w:ind w:firstLine="709"/>
        <w:jc w:val="both"/>
        <w:rPr>
          <w:rFonts w:ascii="Times New Roman" w:hAnsi="Times New Roman"/>
          <w:sz w:val="28"/>
          <w:szCs w:val="28"/>
        </w:rPr>
      </w:pPr>
      <w:r>
        <w:rPr>
          <w:rFonts w:ascii="Times New Roman" w:hAnsi="Times New Roman"/>
          <w:b/>
          <w:sz w:val="28"/>
          <w:szCs w:val="28"/>
        </w:rPr>
        <w:t>5. Фінансов</w:t>
      </w:r>
      <w:r w:rsidR="002B4E40">
        <w:rPr>
          <w:rFonts w:ascii="Times New Roman" w:hAnsi="Times New Roman"/>
          <w:b/>
          <w:sz w:val="28"/>
          <w:szCs w:val="28"/>
        </w:rPr>
        <w:t>о-економічне обґрунтування проє</w:t>
      </w:r>
      <w:r>
        <w:rPr>
          <w:rFonts w:ascii="Times New Roman" w:hAnsi="Times New Roman"/>
          <w:b/>
          <w:sz w:val="28"/>
          <w:szCs w:val="28"/>
        </w:rPr>
        <w:t>кту Закону</w:t>
      </w:r>
    </w:p>
    <w:p w14:paraId="0000002E" w14:textId="77777777" w:rsidR="008E1D8F" w:rsidRDefault="008E1D8F">
      <w:pPr>
        <w:shd w:val="clear" w:color="auto" w:fill="FFFFFF"/>
        <w:spacing w:after="0" w:line="240" w:lineRule="auto"/>
        <w:ind w:firstLine="709"/>
        <w:jc w:val="both"/>
        <w:rPr>
          <w:rFonts w:ascii="Times New Roman" w:hAnsi="Times New Roman"/>
          <w:sz w:val="28"/>
          <w:szCs w:val="28"/>
        </w:rPr>
      </w:pPr>
    </w:p>
    <w:p w14:paraId="0000002F" w14:textId="77777777" w:rsidR="008E1D8F" w:rsidRDefault="00AA1708">
      <w:pPr>
        <w:shd w:val="clear" w:color="auto" w:fill="FFFFFF"/>
        <w:spacing w:after="0" w:line="240" w:lineRule="auto"/>
        <w:ind w:firstLine="709"/>
        <w:jc w:val="both"/>
        <w:rPr>
          <w:rFonts w:ascii="Times New Roman" w:hAnsi="Times New Roman"/>
          <w:color w:val="00B0F0"/>
          <w:sz w:val="28"/>
          <w:szCs w:val="28"/>
        </w:rPr>
      </w:pPr>
      <w:r>
        <w:rPr>
          <w:rFonts w:ascii="Times New Roman" w:hAnsi="Times New Roman"/>
          <w:sz w:val="28"/>
          <w:szCs w:val="28"/>
        </w:rPr>
        <w:t>Реалізація проекту Закону не потребує додаткових витрат з Державного бюджету України або місцевих бюджетів.</w:t>
      </w:r>
    </w:p>
    <w:p w14:paraId="00000030" w14:textId="77777777" w:rsidR="008E1D8F" w:rsidRDefault="008E1D8F">
      <w:pPr>
        <w:shd w:val="clear" w:color="auto" w:fill="FFFFFF"/>
        <w:spacing w:after="0" w:line="240" w:lineRule="auto"/>
        <w:ind w:firstLine="709"/>
        <w:jc w:val="both"/>
        <w:rPr>
          <w:rFonts w:ascii="Times New Roman" w:hAnsi="Times New Roman"/>
          <w:sz w:val="28"/>
          <w:szCs w:val="28"/>
        </w:rPr>
      </w:pPr>
    </w:p>
    <w:p w14:paraId="00000031" w14:textId="2A5862E8" w:rsidR="008E1D8F" w:rsidRDefault="00AA1708">
      <w:pPr>
        <w:shd w:val="clear" w:color="auto" w:fill="FFFFFF"/>
        <w:spacing w:after="0" w:line="240" w:lineRule="auto"/>
        <w:ind w:firstLine="709"/>
        <w:jc w:val="both"/>
        <w:rPr>
          <w:rFonts w:ascii="Times New Roman" w:hAnsi="Times New Roman"/>
          <w:b/>
          <w:sz w:val="28"/>
          <w:szCs w:val="28"/>
        </w:rPr>
      </w:pPr>
      <w:r>
        <w:rPr>
          <w:rFonts w:ascii="Times New Roman" w:hAnsi="Times New Roman"/>
          <w:b/>
          <w:sz w:val="28"/>
          <w:szCs w:val="28"/>
        </w:rPr>
        <w:t>6. Прогноз соціально-економічних т</w:t>
      </w:r>
      <w:r w:rsidR="002B4E40">
        <w:rPr>
          <w:rFonts w:ascii="Times New Roman" w:hAnsi="Times New Roman"/>
          <w:b/>
          <w:sz w:val="28"/>
          <w:szCs w:val="28"/>
        </w:rPr>
        <w:t>а інших наслідків прийняття проє</w:t>
      </w:r>
      <w:r>
        <w:rPr>
          <w:rFonts w:ascii="Times New Roman" w:hAnsi="Times New Roman"/>
          <w:b/>
          <w:sz w:val="28"/>
          <w:szCs w:val="28"/>
        </w:rPr>
        <w:t>ктів Закону.</w:t>
      </w:r>
    </w:p>
    <w:p w14:paraId="00000032" w14:textId="77777777" w:rsidR="008E1D8F" w:rsidRDefault="008E1D8F">
      <w:pPr>
        <w:shd w:val="clear" w:color="auto" w:fill="FFFFFF"/>
        <w:spacing w:after="0" w:line="240" w:lineRule="auto"/>
        <w:ind w:firstLine="709"/>
        <w:jc w:val="both"/>
        <w:rPr>
          <w:rFonts w:ascii="Times New Roman" w:hAnsi="Times New Roman"/>
          <w:sz w:val="28"/>
          <w:szCs w:val="28"/>
        </w:rPr>
      </w:pPr>
    </w:p>
    <w:p w14:paraId="00000033" w14:textId="77777777" w:rsidR="008E1D8F" w:rsidRDefault="00AA17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6" w:firstLine="567"/>
        <w:jc w:val="both"/>
        <w:rPr>
          <w:rFonts w:ascii="Times New Roman" w:hAnsi="Times New Roman"/>
          <w:sz w:val="28"/>
          <w:szCs w:val="28"/>
        </w:rPr>
      </w:pPr>
      <w:r>
        <w:rPr>
          <w:rFonts w:ascii="Times New Roman" w:hAnsi="Times New Roman"/>
          <w:sz w:val="28"/>
          <w:szCs w:val="28"/>
        </w:rPr>
        <w:t>Прийняття проекту Закону дозволить забезпечити профілактику захворювань і станів, пов'язаних з нестачею в організмі людини вітамінів, мінеральних речовин та мікроелементів, зміцнення та збереження здоров'я населення, поліпшення демографічної ситуації в Україні</w:t>
      </w:r>
      <w:r>
        <w:rPr>
          <w:rFonts w:ascii="Times New Roman" w:hAnsi="Times New Roman"/>
          <w:color w:val="000000"/>
          <w:sz w:val="28"/>
          <w:szCs w:val="28"/>
        </w:rPr>
        <w:t xml:space="preserve"> шляхом фортифікації борошна. </w:t>
      </w:r>
      <w:r>
        <w:rPr>
          <w:rFonts w:ascii="Times New Roman" w:hAnsi="Times New Roman"/>
          <w:sz w:val="28"/>
          <w:szCs w:val="28"/>
        </w:rPr>
        <w:t>Завдяки фортифікації борошна фолієвою кислотою можна зменшити частоту спинномозкової кили, а значить заощадити великі кошти, необхідні для пожиттєвої опіки паралізованих внаслідок цієї вродженої вади дітей. Ці кошти можна буде вкладати у поширення профілактики вроджених вад розвитку.</w:t>
      </w:r>
    </w:p>
    <w:p w14:paraId="00000034" w14:textId="77777777" w:rsidR="008E1D8F" w:rsidRDefault="008E1D8F">
      <w:pPr>
        <w:shd w:val="clear" w:color="auto" w:fill="FFFFFF"/>
        <w:spacing w:after="0" w:line="240" w:lineRule="auto"/>
        <w:ind w:firstLine="709"/>
        <w:jc w:val="both"/>
        <w:rPr>
          <w:rFonts w:ascii="Times New Roman" w:hAnsi="Times New Roman"/>
          <w:sz w:val="28"/>
          <w:szCs w:val="28"/>
        </w:rPr>
      </w:pPr>
    </w:p>
    <w:p w14:paraId="00000035" w14:textId="77777777" w:rsidR="008E1D8F" w:rsidRDefault="008E1D8F">
      <w:pPr>
        <w:spacing w:after="0" w:line="240" w:lineRule="auto"/>
        <w:ind w:firstLine="709"/>
        <w:jc w:val="both"/>
        <w:rPr>
          <w:rFonts w:ascii="Times New Roman" w:hAnsi="Times New Roman"/>
          <w:b/>
          <w:color w:val="232323"/>
          <w:sz w:val="28"/>
          <w:szCs w:val="28"/>
        </w:rPr>
      </w:pPr>
    </w:p>
    <w:p w14:paraId="3BF41955" w14:textId="77777777" w:rsidR="002B4E40" w:rsidRDefault="00AA1708">
      <w:pPr>
        <w:pBdr>
          <w:top w:val="nil"/>
          <w:left w:val="nil"/>
          <w:bottom w:val="nil"/>
          <w:right w:val="nil"/>
          <w:between w:val="nil"/>
        </w:pBdr>
        <w:spacing w:after="0" w:line="240" w:lineRule="auto"/>
        <w:rPr>
          <w:rFonts w:ascii="Times New Roman" w:hAnsi="Times New Roman"/>
          <w:b/>
          <w:color w:val="000000"/>
          <w:sz w:val="28"/>
          <w:szCs w:val="28"/>
        </w:rPr>
      </w:pPr>
      <w:r>
        <w:rPr>
          <w:rFonts w:ascii="Times New Roman" w:hAnsi="Times New Roman"/>
          <w:b/>
          <w:color w:val="000000"/>
          <w:sz w:val="28"/>
          <w:szCs w:val="28"/>
        </w:rPr>
        <w:t>Народні депутати</w:t>
      </w:r>
      <w:r>
        <w:rPr>
          <w:rFonts w:eastAsia="Calibri" w:cs="Calibri"/>
          <w:color w:val="000000"/>
        </w:rPr>
        <w:t xml:space="preserve"> </w:t>
      </w:r>
      <w:r>
        <w:rPr>
          <w:rFonts w:ascii="Times New Roman" w:hAnsi="Times New Roman"/>
          <w:b/>
          <w:color w:val="000000"/>
          <w:sz w:val="28"/>
          <w:szCs w:val="28"/>
        </w:rPr>
        <w:t>України</w:t>
      </w:r>
    </w:p>
    <w:p w14:paraId="49CB95A4" w14:textId="77777777" w:rsidR="002B4E40" w:rsidRDefault="002B4E40">
      <w:pPr>
        <w:pBdr>
          <w:top w:val="nil"/>
          <w:left w:val="nil"/>
          <w:bottom w:val="nil"/>
          <w:right w:val="nil"/>
          <w:between w:val="nil"/>
        </w:pBdr>
        <w:spacing w:after="0" w:line="240" w:lineRule="auto"/>
        <w:rPr>
          <w:rFonts w:ascii="Times New Roman" w:hAnsi="Times New Roman"/>
          <w:b/>
          <w:color w:val="000000"/>
          <w:sz w:val="28"/>
          <w:szCs w:val="28"/>
        </w:rPr>
      </w:pPr>
      <w:r>
        <w:rPr>
          <w:rFonts w:ascii="Times New Roman" w:hAnsi="Times New Roman"/>
          <w:b/>
          <w:color w:val="000000"/>
          <w:sz w:val="28"/>
          <w:szCs w:val="28"/>
        </w:rPr>
        <w:t>І.М. Констанкевич</w:t>
      </w:r>
    </w:p>
    <w:p w14:paraId="2977E032" w14:textId="77777777" w:rsidR="002B4E40" w:rsidRDefault="002B4E40">
      <w:pPr>
        <w:pBdr>
          <w:top w:val="nil"/>
          <w:left w:val="nil"/>
          <w:bottom w:val="nil"/>
          <w:right w:val="nil"/>
          <w:between w:val="nil"/>
        </w:pBdr>
        <w:spacing w:after="0" w:line="240" w:lineRule="auto"/>
        <w:rPr>
          <w:rFonts w:ascii="Times New Roman" w:hAnsi="Times New Roman"/>
          <w:b/>
          <w:color w:val="000000"/>
          <w:sz w:val="28"/>
          <w:szCs w:val="28"/>
        </w:rPr>
      </w:pPr>
      <w:r>
        <w:rPr>
          <w:rFonts w:ascii="Times New Roman" w:hAnsi="Times New Roman"/>
          <w:b/>
          <w:color w:val="000000"/>
          <w:sz w:val="28"/>
          <w:szCs w:val="28"/>
        </w:rPr>
        <w:t>Т.І. Батенко</w:t>
      </w:r>
    </w:p>
    <w:p w14:paraId="00000036" w14:textId="602CC4A1" w:rsidR="008E1D8F" w:rsidRDefault="002B4E40">
      <w:pPr>
        <w:pBdr>
          <w:top w:val="nil"/>
          <w:left w:val="nil"/>
          <w:bottom w:val="nil"/>
          <w:right w:val="nil"/>
          <w:between w:val="nil"/>
        </w:pBdr>
        <w:spacing w:after="0" w:line="240" w:lineRule="auto"/>
        <w:rPr>
          <w:rFonts w:ascii="Times New Roman" w:hAnsi="Times New Roman"/>
          <w:b/>
          <w:color w:val="000000"/>
          <w:sz w:val="28"/>
          <w:szCs w:val="28"/>
        </w:rPr>
      </w:pPr>
      <w:r>
        <w:rPr>
          <w:rFonts w:ascii="Times New Roman" w:hAnsi="Times New Roman"/>
          <w:b/>
          <w:color w:val="000000"/>
          <w:sz w:val="28"/>
          <w:szCs w:val="28"/>
        </w:rPr>
        <w:t>та інші</w:t>
      </w:r>
      <w:r w:rsidR="00AA1708">
        <w:rPr>
          <w:rFonts w:ascii="Times New Roman" w:hAnsi="Times New Roman"/>
          <w:b/>
          <w:color w:val="000000"/>
          <w:sz w:val="28"/>
          <w:szCs w:val="28"/>
        </w:rPr>
        <w:t xml:space="preserve">                          </w:t>
      </w:r>
    </w:p>
    <w:p w14:paraId="00000037" w14:textId="77777777" w:rsidR="008E1D8F" w:rsidRDefault="00AA1708">
      <w:pPr>
        <w:tabs>
          <w:tab w:val="left" w:pos="6840"/>
        </w:tabs>
        <w:spacing w:after="0" w:line="360" w:lineRule="auto"/>
        <w:jc w:val="both"/>
        <w:rPr>
          <w:rFonts w:ascii="Times New Roman" w:hAnsi="Times New Roman"/>
          <w:b/>
          <w:sz w:val="28"/>
          <w:szCs w:val="28"/>
        </w:rPr>
      </w:pPr>
      <w:bookmarkStart w:id="1" w:name="_heading=h.gjdgxs" w:colFirst="0" w:colLast="0"/>
      <w:bookmarkEnd w:id="1"/>
      <w:r>
        <w:rPr>
          <w:rFonts w:ascii="Times New Roman" w:hAnsi="Times New Roman"/>
          <w:b/>
          <w:sz w:val="28"/>
          <w:szCs w:val="28"/>
        </w:rPr>
        <w:t xml:space="preserve">                                                                                    </w:t>
      </w:r>
    </w:p>
    <w:sectPr w:rsidR="008E1D8F">
      <w:headerReference w:type="even" r:id="rId10"/>
      <w:headerReference w:type="default" r:id="rId11"/>
      <w:pgSz w:w="11906" w:h="16838"/>
      <w:pgMar w:top="1134" w:right="850" w:bottom="1134" w:left="1701"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7E0A27" w14:textId="77777777" w:rsidR="00F80B7E" w:rsidRDefault="00F80B7E">
      <w:pPr>
        <w:spacing w:after="0" w:line="240" w:lineRule="auto"/>
      </w:pPr>
      <w:r>
        <w:separator/>
      </w:r>
    </w:p>
  </w:endnote>
  <w:endnote w:type="continuationSeparator" w:id="0">
    <w:p w14:paraId="3C3D1DB0" w14:textId="77777777" w:rsidR="00F80B7E" w:rsidRDefault="00F80B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ragmaticaCTT">
    <w:panose1 w:val="00000000000000000000"/>
    <w:charset w:val="0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Georgia">
    <w:altName w:val="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9B6A15" w14:textId="77777777" w:rsidR="00F80B7E" w:rsidRDefault="00F80B7E">
      <w:pPr>
        <w:spacing w:after="0" w:line="240" w:lineRule="auto"/>
      </w:pPr>
      <w:r>
        <w:separator/>
      </w:r>
    </w:p>
  </w:footnote>
  <w:footnote w:type="continuationSeparator" w:id="0">
    <w:p w14:paraId="4F08B8B1" w14:textId="77777777" w:rsidR="00F80B7E" w:rsidRDefault="00F80B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3A" w14:textId="77777777" w:rsidR="008E1D8F" w:rsidRDefault="00AA1708">
    <w:pPr>
      <w:pBdr>
        <w:top w:val="nil"/>
        <w:left w:val="nil"/>
        <w:bottom w:val="nil"/>
        <w:right w:val="nil"/>
        <w:between w:val="nil"/>
      </w:pBdr>
      <w:tabs>
        <w:tab w:val="center" w:pos="4819"/>
        <w:tab w:val="right" w:pos="9639"/>
      </w:tabs>
      <w:jc w:val="center"/>
      <w:rPr>
        <w:rFonts w:eastAsia="Calibri" w:cs="Calibri"/>
        <w:color w:val="000000"/>
      </w:rPr>
    </w:pPr>
    <w:r>
      <w:rPr>
        <w:rFonts w:eastAsia="Calibri" w:cs="Calibri"/>
        <w:color w:val="000000"/>
      </w:rPr>
      <w:fldChar w:fldCharType="begin"/>
    </w:r>
    <w:r>
      <w:rPr>
        <w:rFonts w:eastAsia="Calibri" w:cs="Calibri"/>
        <w:color w:val="000000"/>
      </w:rPr>
      <w:instrText>PAGE</w:instrText>
    </w:r>
    <w:r>
      <w:rPr>
        <w:rFonts w:eastAsia="Calibri" w:cs="Calibri"/>
        <w:color w:val="000000"/>
      </w:rPr>
      <w:fldChar w:fldCharType="end"/>
    </w:r>
  </w:p>
  <w:p w14:paraId="0000003B" w14:textId="77777777" w:rsidR="008E1D8F" w:rsidRDefault="008E1D8F">
    <w:pPr>
      <w:pBdr>
        <w:top w:val="nil"/>
        <w:left w:val="nil"/>
        <w:bottom w:val="nil"/>
        <w:right w:val="nil"/>
        <w:between w:val="nil"/>
      </w:pBdr>
      <w:tabs>
        <w:tab w:val="center" w:pos="4819"/>
        <w:tab w:val="right" w:pos="9639"/>
      </w:tabs>
      <w:rPr>
        <w:rFonts w:eastAsia="Calibri" w:cs="Calibri"/>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38" w14:textId="04DC9023" w:rsidR="008E1D8F" w:rsidRDefault="00AA1708">
    <w:pPr>
      <w:pBdr>
        <w:top w:val="nil"/>
        <w:left w:val="nil"/>
        <w:bottom w:val="nil"/>
        <w:right w:val="nil"/>
        <w:between w:val="nil"/>
      </w:pBdr>
      <w:tabs>
        <w:tab w:val="center" w:pos="4819"/>
        <w:tab w:val="right" w:pos="9639"/>
      </w:tabs>
      <w:jc w:val="center"/>
      <w:rPr>
        <w:rFonts w:eastAsia="Calibri" w:cs="Calibri"/>
        <w:color w:val="000000"/>
      </w:rPr>
    </w:pPr>
    <w:r>
      <w:rPr>
        <w:rFonts w:eastAsia="Calibri" w:cs="Calibri"/>
        <w:color w:val="000000"/>
      </w:rPr>
      <w:fldChar w:fldCharType="begin"/>
    </w:r>
    <w:r>
      <w:rPr>
        <w:rFonts w:eastAsia="Calibri" w:cs="Calibri"/>
        <w:color w:val="000000"/>
      </w:rPr>
      <w:instrText>PAGE</w:instrText>
    </w:r>
    <w:r>
      <w:rPr>
        <w:rFonts w:eastAsia="Calibri" w:cs="Calibri"/>
        <w:color w:val="000000"/>
      </w:rPr>
      <w:fldChar w:fldCharType="separate"/>
    </w:r>
    <w:r w:rsidR="00B16639">
      <w:rPr>
        <w:rFonts w:eastAsia="Calibri" w:cs="Calibri"/>
        <w:noProof/>
        <w:color w:val="000000"/>
      </w:rPr>
      <w:t>5</w:t>
    </w:r>
    <w:r>
      <w:rPr>
        <w:rFonts w:eastAsia="Calibri" w:cs="Calibri"/>
        <w:color w:val="000000"/>
      </w:rPr>
      <w:fldChar w:fldCharType="end"/>
    </w:r>
  </w:p>
  <w:p w14:paraId="00000039" w14:textId="77777777" w:rsidR="008E1D8F" w:rsidRDefault="008E1D8F">
    <w:pPr>
      <w:pBdr>
        <w:top w:val="nil"/>
        <w:left w:val="nil"/>
        <w:bottom w:val="nil"/>
        <w:right w:val="nil"/>
        <w:between w:val="nil"/>
      </w:pBdr>
      <w:tabs>
        <w:tab w:val="center" w:pos="4819"/>
        <w:tab w:val="right" w:pos="9639"/>
      </w:tabs>
      <w:rPr>
        <w:rFonts w:eastAsia="Calibri" w:cs="Calibri"/>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D8F"/>
    <w:rsid w:val="002B4E40"/>
    <w:rsid w:val="006E6E33"/>
    <w:rsid w:val="007D3152"/>
    <w:rsid w:val="008E1D8F"/>
    <w:rsid w:val="0096177F"/>
    <w:rsid w:val="00AA1708"/>
    <w:rsid w:val="00B16639"/>
    <w:rsid w:val="00B77D94"/>
    <w:rsid w:val="00F80B7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5BB57"/>
  <w15:docId w15:val="{D0F8899B-7C5E-B247-9EFA-4A8C08F99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6BA4"/>
    <w:rPr>
      <w:rFonts w:eastAsia="Times New Roman" w:cs="Times New Roman"/>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Normal (Web)"/>
    <w:basedOn w:val="a"/>
    <w:uiPriority w:val="99"/>
    <w:rsid w:val="00EC6BA4"/>
    <w:pPr>
      <w:spacing w:before="100" w:beforeAutospacing="1" w:after="100" w:afterAutospacing="1" w:line="240" w:lineRule="auto"/>
    </w:pPr>
    <w:rPr>
      <w:rFonts w:ascii="Times New Roman" w:hAnsi="Times New Roman"/>
      <w:sz w:val="24"/>
      <w:szCs w:val="24"/>
      <w:lang w:eastAsia="uk-UA"/>
    </w:rPr>
  </w:style>
  <w:style w:type="paragraph" w:customStyle="1" w:styleId="rvps2">
    <w:name w:val="rvps2"/>
    <w:basedOn w:val="a"/>
    <w:rsid w:val="00EC6BA4"/>
    <w:pPr>
      <w:spacing w:before="100" w:beforeAutospacing="1" w:after="100" w:afterAutospacing="1" w:line="240" w:lineRule="auto"/>
    </w:pPr>
    <w:rPr>
      <w:rFonts w:ascii="Times New Roman" w:hAnsi="Times New Roman"/>
      <w:sz w:val="24"/>
      <w:szCs w:val="24"/>
      <w:lang w:val="ru-RU"/>
    </w:rPr>
  </w:style>
  <w:style w:type="paragraph" w:customStyle="1" w:styleId="Txt">
    <w:name w:val="Txt"/>
    <w:uiPriority w:val="99"/>
    <w:rsid w:val="00EC6BA4"/>
    <w:pPr>
      <w:autoSpaceDE w:val="0"/>
      <w:autoSpaceDN w:val="0"/>
      <w:adjustRightInd w:val="0"/>
      <w:spacing w:after="0" w:line="204" w:lineRule="atLeast"/>
      <w:ind w:firstLine="227"/>
      <w:jc w:val="both"/>
    </w:pPr>
    <w:rPr>
      <w:rFonts w:ascii="PragmaticaCTT" w:eastAsia="PMingLiU" w:hAnsi="PragmaticaCTT" w:cs="PragmaticaCTT"/>
      <w:color w:val="000000"/>
      <w:sz w:val="17"/>
      <w:szCs w:val="17"/>
      <w:lang w:val="ru-RU"/>
    </w:rPr>
  </w:style>
  <w:style w:type="paragraph" w:styleId="a5">
    <w:name w:val="header"/>
    <w:basedOn w:val="a"/>
    <w:link w:val="a6"/>
    <w:uiPriority w:val="99"/>
    <w:rsid w:val="00EC6BA4"/>
    <w:pPr>
      <w:tabs>
        <w:tab w:val="center" w:pos="4819"/>
        <w:tab w:val="right" w:pos="9639"/>
      </w:tabs>
    </w:pPr>
  </w:style>
  <w:style w:type="character" w:customStyle="1" w:styleId="a6">
    <w:name w:val="Верхній колонтитул Знак"/>
    <w:basedOn w:val="a0"/>
    <w:link w:val="a5"/>
    <w:uiPriority w:val="99"/>
    <w:rsid w:val="00EC6BA4"/>
    <w:rPr>
      <w:rFonts w:ascii="Calibri" w:eastAsia="Times New Roman" w:hAnsi="Calibri" w:cs="Times New Roman"/>
    </w:rPr>
  </w:style>
  <w:style w:type="character" w:styleId="a7">
    <w:name w:val="page number"/>
    <w:basedOn w:val="a0"/>
    <w:uiPriority w:val="99"/>
    <w:rsid w:val="00EC6BA4"/>
    <w:rPr>
      <w:rFonts w:cs="Times New Roman"/>
    </w:rPr>
  </w:style>
  <w:style w:type="paragraph" w:styleId="a8">
    <w:name w:val="Body Text"/>
    <w:basedOn w:val="a"/>
    <w:link w:val="a9"/>
    <w:uiPriority w:val="99"/>
    <w:rsid w:val="00EC6BA4"/>
    <w:pPr>
      <w:spacing w:after="0" w:line="260" w:lineRule="auto"/>
    </w:pPr>
    <w:rPr>
      <w:rFonts w:ascii="Times New Roman" w:hAnsi="Times New Roman"/>
      <w:sz w:val="24"/>
      <w:szCs w:val="20"/>
      <w:lang w:val="ru-RU"/>
    </w:rPr>
  </w:style>
  <w:style w:type="character" w:customStyle="1" w:styleId="a9">
    <w:name w:val="Основний текст Знак"/>
    <w:basedOn w:val="a0"/>
    <w:link w:val="a8"/>
    <w:uiPriority w:val="99"/>
    <w:rsid w:val="00EC6BA4"/>
    <w:rPr>
      <w:rFonts w:ascii="Times New Roman" w:eastAsia="Times New Roman" w:hAnsi="Times New Roman" w:cs="Times New Roman"/>
      <w:sz w:val="24"/>
      <w:szCs w:val="20"/>
      <w:lang w:val="ru-RU" w:eastAsia="ru-RU"/>
    </w:rPr>
  </w:style>
  <w:style w:type="character" w:customStyle="1" w:styleId="rvts0">
    <w:name w:val="rvts0"/>
    <w:basedOn w:val="a0"/>
    <w:rsid w:val="00EC6BA4"/>
    <w:rPr>
      <w:rFonts w:cs="Times New Roman"/>
    </w:rPr>
  </w:style>
  <w:style w:type="character" w:styleId="aa">
    <w:name w:val="Hyperlink"/>
    <w:basedOn w:val="a0"/>
    <w:uiPriority w:val="99"/>
    <w:semiHidden/>
    <w:unhideWhenUsed/>
    <w:rsid w:val="00EC6BA4"/>
    <w:rPr>
      <w:rFonts w:cs="Times New Roman"/>
      <w:color w:val="0000FF"/>
      <w:u w:val="single"/>
    </w:rPr>
  </w:style>
  <w:style w:type="character" w:customStyle="1" w:styleId="apple-converted-space">
    <w:name w:val="apple-converted-space"/>
    <w:rsid w:val="00EC6BA4"/>
  </w:style>
  <w:style w:type="paragraph" w:styleId="ab">
    <w:name w:val="footer"/>
    <w:basedOn w:val="a"/>
    <w:link w:val="ac"/>
    <w:uiPriority w:val="99"/>
    <w:unhideWhenUsed/>
    <w:rsid w:val="00897345"/>
    <w:pPr>
      <w:tabs>
        <w:tab w:val="center" w:pos="4819"/>
        <w:tab w:val="right" w:pos="9639"/>
      </w:tabs>
      <w:spacing w:after="0" w:line="240" w:lineRule="auto"/>
    </w:pPr>
  </w:style>
  <w:style w:type="character" w:customStyle="1" w:styleId="ac">
    <w:name w:val="Нижній колонтитул Знак"/>
    <w:basedOn w:val="a0"/>
    <w:link w:val="ab"/>
    <w:uiPriority w:val="99"/>
    <w:rsid w:val="00897345"/>
    <w:rPr>
      <w:rFonts w:ascii="Calibri" w:eastAsia="Times New Roman" w:hAnsi="Calibri" w:cs="Times New Roman"/>
    </w:rPr>
  </w:style>
  <w:style w:type="character" w:styleId="ad">
    <w:name w:val="Emphasis"/>
    <w:basedOn w:val="a0"/>
    <w:uiPriority w:val="20"/>
    <w:qFormat/>
    <w:rsid w:val="00DD38A7"/>
    <w:rPr>
      <w:i/>
      <w:iCs/>
    </w:rPr>
  </w:style>
  <w:style w:type="paragraph" w:styleId="ae">
    <w:name w:val="List Paragraph"/>
    <w:basedOn w:val="a"/>
    <w:uiPriority w:val="34"/>
    <w:qFormat/>
    <w:rsid w:val="009B6689"/>
    <w:pPr>
      <w:spacing w:after="160" w:line="259" w:lineRule="auto"/>
      <w:ind w:left="720"/>
      <w:contextualSpacing/>
    </w:pPr>
    <w:rPr>
      <w:rFonts w:asciiTheme="minorHAnsi" w:eastAsiaTheme="minorHAnsi" w:hAnsiTheme="minorHAnsi" w:cstheme="minorBidi"/>
      <w:lang w:val="ru-RU"/>
    </w:rPr>
  </w:style>
  <w:style w:type="paragraph" w:styleId="af">
    <w:name w:val="Balloon Text"/>
    <w:basedOn w:val="a"/>
    <w:link w:val="af0"/>
    <w:uiPriority w:val="99"/>
    <w:semiHidden/>
    <w:unhideWhenUsed/>
    <w:rsid w:val="009776E1"/>
    <w:pPr>
      <w:spacing w:after="0" w:line="240" w:lineRule="auto"/>
    </w:pPr>
    <w:rPr>
      <w:rFonts w:ascii="Segoe UI" w:hAnsi="Segoe UI" w:cs="Segoe UI"/>
      <w:sz w:val="18"/>
      <w:szCs w:val="18"/>
    </w:rPr>
  </w:style>
  <w:style w:type="character" w:customStyle="1" w:styleId="af0">
    <w:name w:val="Текст у виносці Знак"/>
    <w:basedOn w:val="a0"/>
    <w:link w:val="af"/>
    <w:uiPriority w:val="99"/>
    <w:semiHidden/>
    <w:rsid w:val="009776E1"/>
    <w:rPr>
      <w:rFonts w:ascii="Segoe UI" w:eastAsia="Times New Roman" w:hAnsi="Segoe UI" w:cs="Segoe UI"/>
      <w:sz w:val="18"/>
      <w:szCs w:val="18"/>
    </w:rPr>
  </w:style>
  <w:style w:type="paragraph" w:styleId="af1">
    <w:name w:val="No Spacing"/>
    <w:uiPriority w:val="1"/>
    <w:qFormat/>
    <w:rsid w:val="007841BA"/>
    <w:pPr>
      <w:spacing w:after="0" w:line="240" w:lineRule="auto"/>
    </w:pPr>
    <w:rPr>
      <w:rFonts w:eastAsia="Times New Roman" w:cs="Times New Roman"/>
    </w:rPr>
  </w:style>
  <w:style w:type="paragraph" w:styleId="af2">
    <w:name w:val="Subtitle"/>
    <w:basedOn w:val="a"/>
    <w:next w:val="a"/>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j1OhDUSA1Rlp9PwUbuGBoONzg7ig==">AMUW2mWmp6qXRUr/22h2YGj8kzW7gkIXOSJ3FyKN5GvMMzjXzB11tEXxGAxYKN4ZAmgEk7CYChglKhDC4C7dBosvxmRpMja9litGwrGbYBrHyXeBpf87drsWNQlCwAH1bfg0L/lRLeto</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DA4050-433E-4FE4-9448-AE4C2461D8C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30D3CE4-E93A-49CB-8107-86CE414CBEBF}">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2C241DEC-3A90-4AF6-A159-4A0357DD32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7496</Words>
  <Characters>4274</Characters>
  <Application>Microsoft Office Word</Application>
  <DocSecurity>0</DocSecurity>
  <Lines>35</Lines>
  <Paragraphs>23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2021-06-15T07:20:00Z</dcterms:created>
  <dcterms:modified xsi:type="dcterms:W3CDTF">2021-06-15T07:20:00Z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