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23585" w14:textId="77777777" w:rsidR="00B3655D" w:rsidRPr="00451B4D" w:rsidRDefault="00B3655D" w:rsidP="00451B4D">
      <w:pPr>
        <w:shd w:val="clear" w:color="auto" w:fill="FFFFFF"/>
        <w:spacing w:before="120" w:after="0" w:line="240" w:lineRule="auto"/>
        <w:jc w:val="right"/>
        <w:textAlignment w:val="baseline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451B4D">
        <w:rPr>
          <w:rFonts w:ascii="Times New Roman" w:hAnsi="Times New Roman"/>
          <w:color w:val="000000"/>
          <w:sz w:val="28"/>
          <w:szCs w:val="28"/>
        </w:rPr>
        <w:t>Проект</w:t>
      </w:r>
    </w:p>
    <w:p w14:paraId="1F5C160C" w14:textId="77777777" w:rsidR="005415CB" w:rsidRPr="00451B4D" w:rsidRDefault="005415CB" w:rsidP="00451B4D">
      <w:pPr>
        <w:shd w:val="clear" w:color="auto" w:fill="FFFFFF"/>
        <w:spacing w:before="120" w:after="0" w:line="240" w:lineRule="auto"/>
        <w:jc w:val="right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51B4D">
        <w:rPr>
          <w:rFonts w:ascii="Times New Roman" w:hAnsi="Times New Roman"/>
          <w:color w:val="000000"/>
          <w:sz w:val="28"/>
          <w:szCs w:val="28"/>
          <w:lang w:val="ru-RU"/>
        </w:rPr>
        <w:t>Вноситься народними депутатами Укра</w:t>
      </w:r>
      <w:r w:rsidRPr="00451B4D">
        <w:rPr>
          <w:rFonts w:ascii="Times New Roman" w:hAnsi="Times New Roman"/>
          <w:color w:val="000000"/>
          <w:sz w:val="28"/>
          <w:szCs w:val="28"/>
        </w:rPr>
        <w:t>їни</w:t>
      </w:r>
    </w:p>
    <w:p w14:paraId="2AC67EF6" w14:textId="77777777" w:rsidR="005415CB" w:rsidRPr="00451B4D" w:rsidRDefault="005415CB" w:rsidP="00451B4D">
      <w:pPr>
        <w:shd w:val="clear" w:color="auto" w:fill="FFFFFF"/>
        <w:spacing w:before="120" w:after="0" w:line="240" w:lineRule="auto"/>
        <w:jc w:val="right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51B4D">
        <w:rPr>
          <w:rFonts w:ascii="Times New Roman" w:hAnsi="Times New Roman"/>
          <w:color w:val="000000"/>
          <w:sz w:val="28"/>
          <w:szCs w:val="28"/>
        </w:rPr>
        <w:t>М.С. Мезенцевою (посв. №369) та ін.</w:t>
      </w:r>
    </w:p>
    <w:p w14:paraId="1C016A7A" w14:textId="77777777" w:rsidR="005415CB" w:rsidRPr="00451B4D" w:rsidRDefault="005415CB" w:rsidP="00451B4D">
      <w:pPr>
        <w:shd w:val="clear" w:color="auto" w:fill="FFFFFF"/>
        <w:spacing w:before="120" w:after="0" w:line="240" w:lineRule="auto"/>
        <w:jc w:val="right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14:paraId="7D5E8C41" w14:textId="77777777" w:rsidR="005415CB" w:rsidRPr="00451B4D" w:rsidRDefault="005415CB" w:rsidP="00451B4D">
      <w:pPr>
        <w:shd w:val="clear" w:color="auto" w:fill="FFFFFF"/>
        <w:spacing w:before="120" w:after="0" w:line="240" w:lineRule="auto"/>
        <w:jc w:val="right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14:paraId="2F3793D3" w14:textId="77777777" w:rsidR="00B3655D" w:rsidRPr="00451B4D" w:rsidRDefault="00B3655D" w:rsidP="00451B4D">
      <w:pPr>
        <w:pStyle w:val="2"/>
        <w:shd w:val="clear" w:color="auto" w:fill="FFFFFF"/>
        <w:spacing w:before="120" w:beforeAutospacing="0" w:after="0" w:afterAutospacing="0"/>
        <w:jc w:val="right"/>
        <w:textAlignment w:val="baseline"/>
        <w:rPr>
          <w:b w:val="0"/>
          <w:sz w:val="28"/>
          <w:szCs w:val="28"/>
          <w:lang w:val="uk-UA"/>
        </w:rPr>
      </w:pPr>
    </w:p>
    <w:p w14:paraId="022EC306" w14:textId="77777777" w:rsidR="00B3655D" w:rsidRPr="00451B4D" w:rsidRDefault="00B3655D" w:rsidP="00451B4D">
      <w:pPr>
        <w:shd w:val="clear" w:color="auto" w:fill="FFFFFF"/>
        <w:spacing w:before="120" w:after="0" w:line="240" w:lineRule="auto"/>
        <w:jc w:val="right"/>
        <w:textAlignment w:val="baseline"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</w:p>
    <w:p w14:paraId="56FC6797" w14:textId="77777777" w:rsidR="00B3655D" w:rsidRPr="00451B4D" w:rsidRDefault="00B3655D" w:rsidP="00451B4D">
      <w:pPr>
        <w:shd w:val="clear" w:color="auto" w:fill="FFFFFF"/>
        <w:spacing w:before="120" w:after="0" w:line="240" w:lineRule="auto"/>
        <w:jc w:val="center"/>
        <w:textAlignment w:val="baseline"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  <w:r w:rsidRPr="00451B4D">
        <w:rPr>
          <w:rFonts w:ascii="Times New Roman" w:hAnsi="Times New Roman"/>
          <w:b/>
          <w:color w:val="0D0D0D" w:themeColor="text1" w:themeTint="F2"/>
          <w:sz w:val="28"/>
          <w:szCs w:val="28"/>
        </w:rPr>
        <w:t>ЗАКОН УКРАЇНИ</w:t>
      </w:r>
    </w:p>
    <w:p w14:paraId="2C1EDE5B" w14:textId="248A0370" w:rsidR="00B3655D" w:rsidRPr="00451B4D" w:rsidRDefault="00AF480D" w:rsidP="00451B4D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1B4D">
        <w:rPr>
          <w:rFonts w:ascii="Times New Roman" w:hAnsi="Times New Roman"/>
          <w:b/>
          <w:sz w:val="28"/>
          <w:szCs w:val="28"/>
        </w:rPr>
        <w:t>«Про внесення змін до деяких законів України щодо законодавчого регулювання комісійної винагороди за інтерчейндж відповідно до положень Регламенту 2015/751 Європейського Парламенту та Ради від 29 квітня 2015 року»</w:t>
      </w:r>
      <w:r w:rsidRPr="00451B4D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 </w:t>
      </w:r>
    </w:p>
    <w:p w14:paraId="37451304" w14:textId="77777777" w:rsidR="00B3655D" w:rsidRPr="00451B4D" w:rsidRDefault="00B3655D" w:rsidP="00451B4D">
      <w:pPr>
        <w:shd w:val="clear" w:color="auto" w:fill="FFFFFF"/>
        <w:spacing w:before="120" w:after="0" w:line="240" w:lineRule="auto"/>
        <w:ind w:left="851"/>
        <w:jc w:val="both"/>
        <w:textAlignment w:val="baseline"/>
        <w:rPr>
          <w:rFonts w:ascii="Times New Roman" w:hAnsi="Times New Roman"/>
          <w:color w:val="0D0D0D" w:themeColor="text1" w:themeTint="F2"/>
          <w:sz w:val="28"/>
          <w:szCs w:val="28"/>
        </w:rPr>
      </w:pPr>
    </w:p>
    <w:p w14:paraId="7B2B10A3" w14:textId="14AB24FB" w:rsidR="00B3655D" w:rsidRPr="00451B4D" w:rsidRDefault="00B3655D" w:rsidP="00451B4D">
      <w:pPr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  <w:r w:rsidRPr="00451B4D">
        <w:rPr>
          <w:rFonts w:ascii="Times New Roman" w:hAnsi="Times New Roman"/>
          <w:color w:val="0D0D0D" w:themeColor="text1" w:themeTint="F2"/>
          <w:sz w:val="28"/>
          <w:szCs w:val="28"/>
        </w:rPr>
        <w:t xml:space="preserve">Верховна Рада України </w:t>
      </w:r>
      <w:r w:rsidRPr="00451B4D">
        <w:rPr>
          <w:rFonts w:ascii="Times New Roman" w:hAnsi="Times New Roman"/>
          <w:b/>
          <w:color w:val="0D0D0D" w:themeColor="text1" w:themeTint="F2"/>
          <w:sz w:val="28"/>
          <w:szCs w:val="28"/>
        </w:rPr>
        <w:t>постановляє:</w:t>
      </w:r>
    </w:p>
    <w:p w14:paraId="7360DC30" w14:textId="7EEB2302" w:rsidR="00B3655D" w:rsidRPr="00451B4D" w:rsidRDefault="00B3655D" w:rsidP="00451B4D">
      <w:pPr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451B4D">
        <w:rPr>
          <w:rFonts w:ascii="Times New Roman" w:hAnsi="Times New Roman"/>
          <w:color w:val="0D0D0D" w:themeColor="text1" w:themeTint="F2"/>
          <w:sz w:val="28"/>
          <w:szCs w:val="28"/>
        </w:rPr>
        <w:t>І. Внести зміни до таких законодавчих актів України:</w:t>
      </w:r>
    </w:p>
    <w:p w14:paraId="2BCFEA0E" w14:textId="4B774C13" w:rsidR="00B3655D" w:rsidRPr="00451B4D" w:rsidRDefault="00B3655D" w:rsidP="00451B4D">
      <w:pPr>
        <w:shd w:val="clear" w:color="auto" w:fill="FFFFFF"/>
        <w:tabs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451B4D">
        <w:rPr>
          <w:rFonts w:ascii="Times New Roman" w:hAnsi="Times New Roman"/>
          <w:color w:val="0D0D0D" w:themeColor="text1" w:themeTint="F2"/>
          <w:sz w:val="28"/>
          <w:szCs w:val="28"/>
        </w:rPr>
        <w:t>1. У Законі України «Про платіжні системи та переказ коштів в Україні» (Відомо</w:t>
      </w:r>
      <w:r w:rsidR="00270D36" w:rsidRPr="00451B4D">
        <w:rPr>
          <w:rFonts w:ascii="Times New Roman" w:hAnsi="Times New Roman"/>
          <w:color w:val="0D0D0D" w:themeColor="text1" w:themeTint="F2"/>
          <w:sz w:val="28"/>
          <w:szCs w:val="28"/>
        </w:rPr>
        <w:t>сті Верховної Ради України, 2001, №</w:t>
      </w:r>
      <w:r w:rsidRPr="00451B4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29, ст.</w:t>
      </w:r>
      <w:r w:rsidR="00ED5D3D" w:rsidRPr="00451B4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451B4D">
        <w:rPr>
          <w:rFonts w:ascii="Times New Roman" w:hAnsi="Times New Roman"/>
          <w:color w:val="0D0D0D" w:themeColor="text1" w:themeTint="F2"/>
          <w:sz w:val="28"/>
          <w:szCs w:val="28"/>
        </w:rPr>
        <w:t>137</w:t>
      </w:r>
      <w:r w:rsidR="00270D36" w:rsidRPr="00451B4D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з наступними змінами</w:t>
      </w:r>
      <w:r w:rsidRPr="00451B4D">
        <w:rPr>
          <w:rFonts w:ascii="Times New Roman" w:hAnsi="Times New Roman"/>
          <w:color w:val="0D0D0D" w:themeColor="text1" w:themeTint="F2"/>
          <w:sz w:val="28"/>
          <w:szCs w:val="28"/>
        </w:rPr>
        <w:t>):</w:t>
      </w:r>
    </w:p>
    <w:p w14:paraId="24069436" w14:textId="143413E3" w:rsidR="00B3655D" w:rsidRPr="00451B4D" w:rsidRDefault="00B3655D" w:rsidP="00451B4D">
      <w:pPr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eastAsia="Batang" w:hAnsi="Times New Roman"/>
          <w:color w:val="000000"/>
          <w:sz w:val="28"/>
          <w:szCs w:val="28"/>
          <w:lang w:eastAsia="ko-KR"/>
        </w:rPr>
      </w:pPr>
      <w:r w:rsidRPr="00451B4D">
        <w:rPr>
          <w:rFonts w:ascii="Times New Roman" w:hAnsi="Times New Roman"/>
          <w:color w:val="000000"/>
          <w:sz w:val="28"/>
          <w:szCs w:val="28"/>
        </w:rPr>
        <w:t xml:space="preserve">1) </w:t>
      </w:r>
      <w:r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 xml:space="preserve">доповнити </w:t>
      </w:r>
      <w:r w:rsidRPr="00451B4D">
        <w:rPr>
          <w:rFonts w:ascii="Times New Roman" w:hAnsi="Times New Roman"/>
          <w:color w:val="000000"/>
          <w:sz w:val="28"/>
          <w:szCs w:val="28"/>
        </w:rPr>
        <w:t xml:space="preserve">статтю 1 </w:t>
      </w:r>
      <w:r w:rsidR="00A3678F" w:rsidRPr="00451B4D">
        <w:rPr>
          <w:rFonts w:ascii="Times New Roman" w:hAnsi="Times New Roman"/>
          <w:color w:val="000000"/>
          <w:sz w:val="28"/>
          <w:szCs w:val="28"/>
        </w:rPr>
        <w:t xml:space="preserve">після </w:t>
      </w:r>
      <w:r w:rsidR="00A3678F"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>пункту 18-2 новим пунктом 18-3</w:t>
      </w:r>
      <w:r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 xml:space="preserve"> такого змісту:</w:t>
      </w:r>
    </w:p>
    <w:p w14:paraId="2FBDCC0E" w14:textId="5F6FFB9A" w:rsidR="00B3655D" w:rsidRPr="00451B4D" w:rsidRDefault="00B3655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«</w:t>
      </w:r>
      <w:r w:rsidR="00292554" w:rsidRPr="00451B4D">
        <w:rPr>
          <w:rFonts w:ascii="Times New Roman" w:hAnsi="Times New Roman"/>
          <w:sz w:val="28"/>
          <w:szCs w:val="28"/>
        </w:rPr>
        <w:t>1.18-</w:t>
      </w:r>
      <w:r w:rsidR="00A3678F" w:rsidRPr="00451B4D">
        <w:rPr>
          <w:rFonts w:ascii="Times New Roman" w:hAnsi="Times New Roman"/>
          <w:sz w:val="28"/>
          <w:szCs w:val="28"/>
        </w:rPr>
        <w:t>3</w:t>
      </w:r>
      <w:r w:rsidR="00292554" w:rsidRPr="00451B4D">
        <w:rPr>
          <w:rFonts w:ascii="Times New Roman" w:hAnsi="Times New Roman"/>
          <w:sz w:val="28"/>
          <w:szCs w:val="28"/>
        </w:rPr>
        <w:t>) комісійна винагорода за інтерчейндж – міжбанківська плата за обмін, яка є частиною комісійної винагороди за еквайринг, та сплачується еквайринговою установою (еквайром) емітенту електронних платіжних засобів за кожну пряму або опосередковану (через третю особу) безготівкову платіжну операцію, здійснену з використанням платіжної картки</w:t>
      </w:r>
      <w:r w:rsidR="002C0CEB" w:rsidRPr="00451B4D">
        <w:rPr>
          <w:rFonts w:ascii="Times New Roman" w:hAnsi="Times New Roman"/>
          <w:sz w:val="28"/>
          <w:szCs w:val="28"/>
        </w:rPr>
        <w:t>»;</w:t>
      </w:r>
      <w:r w:rsidR="00292554" w:rsidRPr="00451B4D">
        <w:rPr>
          <w:rFonts w:ascii="Times New Roman" w:hAnsi="Times New Roman"/>
          <w:sz w:val="28"/>
          <w:szCs w:val="28"/>
        </w:rPr>
        <w:t xml:space="preserve"> </w:t>
      </w:r>
    </w:p>
    <w:p w14:paraId="748ACA07" w14:textId="346893F7" w:rsidR="00B3655D" w:rsidRPr="00451B4D" w:rsidRDefault="00B3655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 xml:space="preserve">2) </w:t>
      </w:r>
      <w:r w:rsidRPr="00451B4D">
        <w:rPr>
          <w:rFonts w:ascii="Times New Roman" w:hAnsi="Times New Roman"/>
          <w:spacing w:val="-2"/>
          <w:sz w:val="28"/>
          <w:szCs w:val="28"/>
        </w:rPr>
        <w:t>доповнити</w:t>
      </w:r>
      <w:r w:rsidR="00270D36" w:rsidRPr="00451B4D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270D36" w:rsidRPr="00451B4D">
        <w:rPr>
          <w:rFonts w:ascii="Times New Roman" w:hAnsi="Times New Roman"/>
          <w:sz w:val="28"/>
          <w:szCs w:val="28"/>
        </w:rPr>
        <w:t>статтю</w:t>
      </w:r>
      <w:r w:rsidRPr="00451B4D">
        <w:rPr>
          <w:rFonts w:ascii="Times New Roman" w:hAnsi="Times New Roman"/>
          <w:sz w:val="28"/>
          <w:szCs w:val="28"/>
        </w:rPr>
        <w:t xml:space="preserve"> 14 </w:t>
      </w:r>
      <w:r w:rsidR="007340AD" w:rsidRPr="00451B4D">
        <w:rPr>
          <w:rFonts w:ascii="Times New Roman" w:hAnsi="Times New Roman"/>
          <w:sz w:val="28"/>
          <w:szCs w:val="28"/>
        </w:rPr>
        <w:t xml:space="preserve">після пункту 14.19 </w:t>
      </w:r>
      <w:r w:rsidR="00A563B6" w:rsidRPr="00451B4D">
        <w:rPr>
          <w:rFonts w:ascii="Times New Roman" w:hAnsi="Times New Roman"/>
          <w:sz w:val="28"/>
          <w:szCs w:val="28"/>
          <w:lang w:val="ru-RU"/>
        </w:rPr>
        <w:t xml:space="preserve">двома </w:t>
      </w:r>
      <w:r w:rsidR="00270D36" w:rsidRPr="00451B4D">
        <w:rPr>
          <w:rFonts w:ascii="Times New Roman" w:hAnsi="Times New Roman"/>
          <w:sz w:val="28"/>
          <w:szCs w:val="28"/>
        </w:rPr>
        <w:t>новим</w:t>
      </w:r>
      <w:r w:rsidR="00A563B6" w:rsidRPr="00451B4D">
        <w:rPr>
          <w:rFonts w:ascii="Times New Roman" w:hAnsi="Times New Roman"/>
          <w:sz w:val="28"/>
          <w:szCs w:val="28"/>
          <w:lang w:val="ru-RU"/>
        </w:rPr>
        <w:t>и</w:t>
      </w:r>
      <w:r w:rsidR="00270D36" w:rsidRPr="00451B4D">
        <w:rPr>
          <w:rFonts w:ascii="Times New Roman" w:hAnsi="Times New Roman"/>
          <w:sz w:val="28"/>
          <w:szCs w:val="28"/>
        </w:rPr>
        <w:t xml:space="preserve"> </w:t>
      </w:r>
      <w:r w:rsidR="00A563B6" w:rsidRPr="00451B4D">
        <w:rPr>
          <w:rFonts w:ascii="Times New Roman" w:hAnsi="Times New Roman"/>
          <w:sz w:val="28"/>
          <w:szCs w:val="28"/>
        </w:rPr>
        <w:t>пунктами</w:t>
      </w:r>
      <w:r w:rsidR="007340AD" w:rsidRPr="00451B4D">
        <w:rPr>
          <w:rFonts w:ascii="Times New Roman" w:hAnsi="Times New Roman"/>
          <w:sz w:val="28"/>
          <w:szCs w:val="28"/>
        </w:rPr>
        <w:t xml:space="preserve">  </w:t>
      </w:r>
      <w:r w:rsidRPr="00451B4D">
        <w:rPr>
          <w:rFonts w:ascii="Times New Roman" w:hAnsi="Times New Roman"/>
          <w:sz w:val="28"/>
          <w:szCs w:val="28"/>
        </w:rPr>
        <w:t xml:space="preserve">такого змісту: </w:t>
      </w:r>
    </w:p>
    <w:p w14:paraId="6D5DBF94" w14:textId="11C2C23B" w:rsidR="00B3655D" w:rsidRPr="00451B4D" w:rsidRDefault="00B3655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«</w:t>
      </w:r>
      <w:r w:rsidR="007340AD" w:rsidRPr="00451B4D">
        <w:rPr>
          <w:rFonts w:ascii="Times New Roman" w:hAnsi="Times New Roman"/>
          <w:sz w:val="28"/>
          <w:szCs w:val="28"/>
        </w:rPr>
        <w:t>14.19-1.</w:t>
      </w:r>
      <w:r w:rsidR="00A3678F" w:rsidRPr="00451B4D">
        <w:rPr>
          <w:rFonts w:ascii="Times New Roman" w:hAnsi="Times New Roman"/>
          <w:sz w:val="28"/>
          <w:szCs w:val="28"/>
        </w:rPr>
        <w:t xml:space="preserve"> </w:t>
      </w:r>
      <w:r w:rsidR="00270D36" w:rsidRPr="00451B4D">
        <w:rPr>
          <w:rFonts w:ascii="Times New Roman" w:hAnsi="Times New Roman"/>
          <w:sz w:val="28"/>
          <w:szCs w:val="28"/>
        </w:rPr>
        <w:t>Комісійна винагорода за інтерчейндж включає будь-яку узгоджену винагороду (компенсацію, еквівалентну комісійній винагороді за інтерчейндж за предметом або дією), яку отримує емітент, еквайр або будь-який інший посередник у зв’язку з платіжними опера</w:t>
      </w:r>
      <w:r w:rsidR="002C0CEB" w:rsidRPr="00451B4D">
        <w:rPr>
          <w:rFonts w:ascii="Times New Roman" w:hAnsi="Times New Roman"/>
          <w:sz w:val="28"/>
          <w:szCs w:val="28"/>
        </w:rPr>
        <w:t>ціями або пов’язаною діяльністю</w:t>
      </w:r>
      <w:r w:rsidR="00A563B6" w:rsidRPr="00451B4D">
        <w:rPr>
          <w:rFonts w:ascii="Times New Roman" w:hAnsi="Times New Roman"/>
          <w:sz w:val="28"/>
          <w:szCs w:val="28"/>
        </w:rPr>
        <w:t>.</w:t>
      </w:r>
    </w:p>
    <w:p w14:paraId="408B7F83" w14:textId="52B441EA" w:rsidR="00B3655D" w:rsidRPr="00451B4D" w:rsidRDefault="00A563B6" w:rsidP="00451B4D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1973">
        <w:rPr>
          <w:rFonts w:ascii="Times New Roman" w:hAnsi="Times New Roman"/>
          <w:sz w:val="28"/>
          <w:szCs w:val="28"/>
        </w:rPr>
        <w:t>14.19-2. Розмір комісійної винагороди за інтерчейндж, не може перевищувати з 1 січня 2022 року до 31 грудня 2022 року – 1%</w:t>
      </w:r>
      <w:r w:rsidRPr="005F1973">
        <w:rPr>
          <w:rFonts w:ascii="Times New Roman" w:hAnsi="Times New Roman"/>
          <w:sz w:val="28"/>
          <w:szCs w:val="28"/>
          <w:lang w:val="ru-RU"/>
        </w:rPr>
        <w:t>»</w:t>
      </w:r>
      <w:r w:rsidRPr="005F1973">
        <w:rPr>
          <w:rFonts w:ascii="Times New Roman" w:hAnsi="Times New Roman"/>
          <w:sz w:val="28"/>
          <w:szCs w:val="28"/>
        </w:rPr>
        <w:t>.</w:t>
      </w:r>
    </w:p>
    <w:p w14:paraId="3067D6D0" w14:textId="10382EAF" w:rsidR="00B3655D" w:rsidRPr="00451B4D" w:rsidRDefault="00B3655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color w:val="000000"/>
          <w:sz w:val="28"/>
          <w:szCs w:val="28"/>
        </w:rPr>
        <w:t xml:space="preserve">3) </w:t>
      </w:r>
      <w:r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 xml:space="preserve">доповнити статтю </w:t>
      </w:r>
      <w:r w:rsidRPr="00451B4D">
        <w:rPr>
          <w:rFonts w:ascii="Times New Roman" w:hAnsi="Times New Roman"/>
          <w:sz w:val="28"/>
          <w:szCs w:val="28"/>
        </w:rPr>
        <w:t>41</w:t>
      </w:r>
      <w:r w:rsidR="00981D86" w:rsidRPr="00451B4D">
        <w:rPr>
          <w:rFonts w:ascii="Times New Roman" w:hAnsi="Times New Roman"/>
          <w:sz w:val="28"/>
          <w:szCs w:val="28"/>
        </w:rPr>
        <w:t xml:space="preserve"> після пункту 41.7.</w:t>
      </w:r>
      <w:r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 xml:space="preserve"> новим пунктом такого змісту:</w:t>
      </w:r>
    </w:p>
    <w:p w14:paraId="1AA8A4FC" w14:textId="6911DB50" w:rsidR="00292554" w:rsidRPr="00451B4D" w:rsidRDefault="00B3655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 xml:space="preserve">«41.8. </w:t>
      </w:r>
      <w:r w:rsidR="00292554"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>За перевищення встановлених</w:t>
      </w:r>
      <w:r w:rsidR="0009217C"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 xml:space="preserve"> </w:t>
      </w:r>
      <w:r w:rsidR="00A563B6"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>законом</w:t>
      </w:r>
      <w:r w:rsidR="00292554"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 xml:space="preserve"> граничних розмірів коміс</w:t>
      </w:r>
      <w:r w:rsidR="003535DB"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>ійної винагороди за інтерчейндж</w:t>
      </w:r>
      <w:r w:rsidR="00292554"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t xml:space="preserve"> до осіб, які є об'єктами оверсайта платіжної інфраструктури, застосовуються заходи впливу (санкції) у виді </w:t>
      </w:r>
      <w:r w:rsidR="00292554" w:rsidRPr="00451B4D">
        <w:rPr>
          <w:rFonts w:ascii="Times New Roman" w:eastAsia="Batang" w:hAnsi="Times New Roman"/>
          <w:color w:val="000000"/>
          <w:sz w:val="28"/>
          <w:szCs w:val="28"/>
          <w:lang w:eastAsia="ko-KR"/>
        </w:rPr>
        <w:lastRenderedPageBreak/>
        <w:t xml:space="preserve">штрафу </w:t>
      </w:r>
      <w:r w:rsidR="00292554" w:rsidRPr="00451B4D">
        <w:rPr>
          <w:rFonts w:ascii="Times New Roman" w:hAnsi="Times New Roman"/>
          <w:color w:val="000000"/>
          <w:sz w:val="28"/>
          <w:szCs w:val="28"/>
        </w:rPr>
        <w:t>у розмірі п’ятиста неоподатковуваних мінімумів доходів громадян за кожен факт такого порушення.</w:t>
      </w:r>
    </w:p>
    <w:p w14:paraId="52CE0C98" w14:textId="612608ED" w:rsidR="00292554" w:rsidRPr="005F1973" w:rsidRDefault="00292554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1B4D">
        <w:rPr>
          <w:rFonts w:ascii="Times New Roman" w:hAnsi="Times New Roman"/>
          <w:color w:val="000000"/>
          <w:sz w:val="28"/>
          <w:szCs w:val="28"/>
        </w:rPr>
        <w:t>У разі повторних дій, передбач</w:t>
      </w:r>
      <w:r w:rsidR="000B223C">
        <w:rPr>
          <w:rFonts w:ascii="Times New Roman" w:hAnsi="Times New Roman"/>
          <w:color w:val="000000"/>
          <w:sz w:val="28"/>
          <w:szCs w:val="28"/>
        </w:rPr>
        <w:t>ених абзац</w:t>
      </w:r>
      <w:r w:rsidR="000B223C" w:rsidRPr="005F1973">
        <w:rPr>
          <w:rFonts w:ascii="Times New Roman" w:hAnsi="Times New Roman"/>
          <w:color w:val="000000"/>
          <w:sz w:val="28"/>
          <w:szCs w:val="28"/>
        </w:rPr>
        <w:t>ом першим цього пункту</w:t>
      </w:r>
      <w:r w:rsidRPr="005F1973">
        <w:rPr>
          <w:rFonts w:ascii="Times New Roman" w:hAnsi="Times New Roman"/>
          <w:color w:val="000000"/>
          <w:sz w:val="28"/>
          <w:szCs w:val="28"/>
        </w:rPr>
        <w:t>, особа, до якої протягом року було застосовано санкції за таке саме порушення, сплачує штраф в розмірі однієї тисячі неоподатковуваних мінімумів доходів громадян за кожен факт такого порушення.</w:t>
      </w:r>
    </w:p>
    <w:p w14:paraId="45C61423" w14:textId="1A95CB9C" w:rsidR="00B3655D" w:rsidRPr="00451B4D" w:rsidRDefault="00292554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1973">
        <w:rPr>
          <w:rFonts w:ascii="Times New Roman" w:hAnsi="Times New Roman"/>
          <w:color w:val="000000"/>
          <w:sz w:val="28"/>
          <w:szCs w:val="28"/>
        </w:rPr>
        <w:t xml:space="preserve">Порядок контролю додержання граничного розміру комісійної винагороди за інтерчейндж при здійсненні безготівкових розрахунків, встановлення фактів порушень і застосування штрафних санкцій, визначених </w:t>
      </w:r>
      <w:r w:rsidR="000B223C" w:rsidRPr="005F1973">
        <w:rPr>
          <w:rFonts w:ascii="Times New Roman" w:hAnsi="Times New Roman"/>
          <w:color w:val="000000"/>
          <w:sz w:val="28"/>
          <w:szCs w:val="28"/>
        </w:rPr>
        <w:t>цим пунктом</w:t>
      </w:r>
      <w:r w:rsidRPr="005F1973">
        <w:rPr>
          <w:rFonts w:ascii="Times New Roman" w:hAnsi="Times New Roman"/>
          <w:color w:val="000000"/>
          <w:sz w:val="28"/>
          <w:szCs w:val="28"/>
        </w:rPr>
        <w:t>, встановлюється нормативно-правовим</w:t>
      </w:r>
      <w:r w:rsidRPr="00451B4D">
        <w:rPr>
          <w:rFonts w:ascii="Times New Roman" w:hAnsi="Times New Roman"/>
          <w:color w:val="000000"/>
          <w:sz w:val="28"/>
          <w:szCs w:val="28"/>
        </w:rPr>
        <w:t>и акт</w:t>
      </w:r>
      <w:r w:rsidR="002C0CEB" w:rsidRPr="00451B4D">
        <w:rPr>
          <w:rFonts w:ascii="Times New Roman" w:hAnsi="Times New Roman"/>
          <w:color w:val="000000"/>
          <w:sz w:val="28"/>
          <w:szCs w:val="28"/>
        </w:rPr>
        <w:t>ами Національного банку України</w:t>
      </w:r>
      <w:r w:rsidR="00B3655D" w:rsidRPr="00451B4D">
        <w:rPr>
          <w:rFonts w:ascii="Times New Roman" w:hAnsi="Times New Roman"/>
          <w:color w:val="000000"/>
          <w:sz w:val="28"/>
          <w:szCs w:val="28"/>
        </w:rPr>
        <w:t>»</w:t>
      </w:r>
      <w:r w:rsidR="002C0CEB" w:rsidRPr="00451B4D">
        <w:rPr>
          <w:rFonts w:ascii="Times New Roman" w:hAnsi="Times New Roman"/>
          <w:color w:val="000000"/>
          <w:sz w:val="28"/>
          <w:szCs w:val="28"/>
        </w:rPr>
        <w:t>.</w:t>
      </w:r>
    </w:p>
    <w:p w14:paraId="1004B6FB" w14:textId="7CC88065" w:rsidR="00B3655D" w:rsidRPr="00451B4D" w:rsidRDefault="00B3655D" w:rsidP="00451B4D">
      <w:pPr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451B4D">
        <w:rPr>
          <w:rFonts w:ascii="Times New Roman" w:hAnsi="Times New Roman"/>
          <w:color w:val="000000"/>
          <w:sz w:val="28"/>
          <w:szCs w:val="28"/>
          <w:lang w:val="ru-RU"/>
        </w:rPr>
        <w:t xml:space="preserve">У </w:t>
      </w:r>
      <w:r w:rsidRPr="00451B4D">
        <w:rPr>
          <w:rFonts w:ascii="Times New Roman" w:hAnsi="Times New Roman"/>
          <w:color w:val="000000"/>
          <w:sz w:val="28"/>
          <w:szCs w:val="28"/>
        </w:rPr>
        <w:t>зв’язку</w:t>
      </w:r>
      <w:r w:rsidRPr="00451B4D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451B4D">
        <w:rPr>
          <w:rFonts w:ascii="Times New Roman" w:hAnsi="Times New Roman"/>
          <w:color w:val="000000"/>
          <w:sz w:val="28"/>
          <w:szCs w:val="28"/>
        </w:rPr>
        <w:t>з</w:t>
      </w:r>
      <w:r w:rsidRPr="00451B4D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451B4D">
        <w:rPr>
          <w:rFonts w:ascii="Times New Roman" w:hAnsi="Times New Roman"/>
          <w:color w:val="000000"/>
          <w:sz w:val="28"/>
          <w:szCs w:val="28"/>
        </w:rPr>
        <w:t>цим</w:t>
      </w:r>
      <w:r w:rsidRPr="00451B4D">
        <w:rPr>
          <w:rFonts w:ascii="Times New Roman" w:hAnsi="Times New Roman"/>
          <w:color w:val="000000"/>
          <w:sz w:val="28"/>
          <w:szCs w:val="28"/>
          <w:lang w:val="ru-RU"/>
        </w:rPr>
        <w:t xml:space="preserve"> пункт 41.8 </w:t>
      </w:r>
      <w:r w:rsidRPr="00451B4D">
        <w:rPr>
          <w:rFonts w:ascii="Times New Roman" w:hAnsi="Times New Roman"/>
          <w:sz w:val="28"/>
          <w:szCs w:val="28"/>
        </w:rPr>
        <w:t xml:space="preserve">вважати відповідно пунктом </w:t>
      </w:r>
      <w:r w:rsidRPr="00451B4D">
        <w:rPr>
          <w:rFonts w:ascii="Times New Roman" w:hAnsi="Times New Roman"/>
          <w:sz w:val="28"/>
          <w:szCs w:val="28"/>
          <w:lang w:val="ru-RU"/>
        </w:rPr>
        <w:t>41.9.</w:t>
      </w:r>
    </w:p>
    <w:p w14:paraId="1FEC6359" w14:textId="5CFEBBE8" w:rsidR="00B3655D" w:rsidRPr="00451B4D" w:rsidRDefault="00B3655D" w:rsidP="00451B4D">
      <w:pPr>
        <w:shd w:val="clear" w:color="auto" w:fill="FFFFFF"/>
        <w:tabs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51B4D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901256">
        <w:rPr>
          <w:rFonts w:ascii="Times New Roman" w:hAnsi="Times New Roman"/>
          <w:color w:val="000000"/>
          <w:sz w:val="28"/>
          <w:szCs w:val="28"/>
        </w:rPr>
        <w:t>Частину чотирнадцяту</w:t>
      </w:r>
      <w:r w:rsidRPr="00824F58">
        <w:rPr>
          <w:rFonts w:ascii="Times New Roman" w:hAnsi="Times New Roman"/>
          <w:sz w:val="28"/>
          <w:szCs w:val="28"/>
        </w:rPr>
        <w:t xml:space="preserve"> </w:t>
      </w:r>
      <w:r w:rsidRPr="00451B4D">
        <w:rPr>
          <w:rFonts w:ascii="Times New Roman" w:hAnsi="Times New Roman"/>
          <w:color w:val="000000"/>
          <w:sz w:val="28"/>
          <w:szCs w:val="28"/>
        </w:rPr>
        <w:t>статті 47 Закону України «Про банки і банківську діяльність» (Відомості Верховно</w:t>
      </w:r>
      <w:r w:rsidR="000D63A5" w:rsidRPr="00451B4D">
        <w:rPr>
          <w:rFonts w:ascii="Times New Roman" w:hAnsi="Times New Roman"/>
          <w:color w:val="000000"/>
          <w:sz w:val="28"/>
          <w:szCs w:val="28"/>
        </w:rPr>
        <w:t>ї Ради України</w:t>
      </w:r>
      <w:r w:rsidRPr="00451B4D">
        <w:rPr>
          <w:rFonts w:ascii="Times New Roman" w:hAnsi="Times New Roman"/>
          <w:color w:val="000000"/>
          <w:sz w:val="28"/>
          <w:szCs w:val="28"/>
        </w:rPr>
        <w:t xml:space="preserve">, 2001, </w:t>
      </w:r>
      <w:r w:rsidR="00ED5D3D" w:rsidRPr="00451B4D">
        <w:rPr>
          <w:rFonts w:ascii="Times New Roman" w:hAnsi="Times New Roman"/>
          <w:color w:val="000000"/>
          <w:sz w:val="28"/>
          <w:szCs w:val="28"/>
        </w:rPr>
        <w:t>№</w:t>
      </w:r>
      <w:r w:rsidRPr="00451B4D">
        <w:rPr>
          <w:rFonts w:ascii="Times New Roman" w:hAnsi="Times New Roman"/>
          <w:color w:val="000000"/>
          <w:sz w:val="28"/>
          <w:szCs w:val="28"/>
        </w:rPr>
        <w:t>5-6, ст. 30</w:t>
      </w:r>
      <w:r w:rsidR="000D63A5" w:rsidRPr="00451B4D">
        <w:rPr>
          <w:rFonts w:ascii="Times New Roman" w:hAnsi="Times New Roman"/>
          <w:color w:val="000000"/>
          <w:sz w:val="28"/>
          <w:szCs w:val="28"/>
        </w:rPr>
        <w:t xml:space="preserve"> із наступними змінами</w:t>
      </w:r>
      <w:r w:rsidRPr="00451B4D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3535DB" w:rsidRPr="00451B4D">
        <w:rPr>
          <w:rFonts w:ascii="Times New Roman" w:hAnsi="Times New Roman"/>
          <w:color w:val="000000"/>
          <w:sz w:val="28"/>
          <w:szCs w:val="28"/>
        </w:rPr>
        <w:t xml:space="preserve">викласти </w:t>
      </w:r>
      <w:r w:rsidRPr="00451B4D">
        <w:rPr>
          <w:rFonts w:ascii="Times New Roman" w:hAnsi="Times New Roman"/>
          <w:color w:val="000000"/>
          <w:sz w:val="28"/>
          <w:szCs w:val="28"/>
        </w:rPr>
        <w:t>у такій редакції:</w:t>
      </w:r>
    </w:p>
    <w:p w14:paraId="7CFDF6F7" w14:textId="60DE3071" w:rsidR="00A563B6" w:rsidRPr="00451B4D" w:rsidRDefault="00B3655D" w:rsidP="00451B4D">
      <w:pPr>
        <w:spacing w:before="120" w:after="0" w:line="240" w:lineRule="auto"/>
        <w:ind w:firstLine="709"/>
        <w:jc w:val="both"/>
        <w:rPr>
          <w:b/>
          <w:color w:val="00B050"/>
          <w:sz w:val="28"/>
          <w:szCs w:val="28"/>
          <w:lang w:val="ru-RU"/>
        </w:rPr>
      </w:pPr>
      <w:r w:rsidRPr="00451B4D">
        <w:rPr>
          <w:rFonts w:ascii="Times New Roman" w:hAnsi="Times New Roman"/>
          <w:color w:val="000000"/>
          <w:sz w:val="28"/>
          <w:szCs w:val="28"/>
        </w:rPr>
        <w:t xml:space="preserve">«Банк самостійно встановлює процентні ставки та комісійну винагороду за надані послуги, </w:t>
      </w:r>
      <w:r w:rsidR="00BA004D" w:rsidRPr="00451B4D">
        <w:rPr>
          <w:rFonts w:ascii="Times New Roman" w:hAnsi="Times New Roman"/>
          <w:color w:val="000000"/>
          <w:sz w:val="28"/>
          <w:szCs w:val="28"/>
        </w:rPr>
        <w:t>крім встановлених законом</w:t>
      </w:r>
      <w:r w:rsidR="00F6526D" w:rsidRPr="00451B4D">
        <w:rPr>
          <w:rFonts w:ascii="Times New Roman" w:hAnsi="Times New Roman"/>
          <w:color w:val="000000"/>
          <w:sz w:val="28"/>
          <w:szCs w:val="28"/>
        </w:rPr>
        <w:t xml:space="preserve"> розмірів комісійних винагород за інтерчейндж».</w:t>
      </w:r>
      <w:r w:rsidR="00F6526D" w:rsidRPr="00451B4D">
        <w:rPr>
          <w:b/>
          <w:color w:val="00B050"/>
          <w:sz w:val="28"/>
          <w:szCs w:val="28"/>
          <w:lang w:val="ru-RU"/>
        </w:rPr>
        <w:t xml:space="preserve"> </w:t>
      </w:r>
    </w:p>
    <w:p w14:paraId="50B7BD2E" w14:textId="0064FF0F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51B4D">
        <w:rPr>
          <w:rFonts w:ascii="Times New Roman" w:hAnsi="Times New Roman"/>
          <w:sz w:val="28"/>
          <w:szCs w:val="28"/>
        </w:rPr>
        <w:t>3. У Законі України «Про платіжні послуги»</w:t>
      </w:r>
      <w:r w:rsidRPr="00451B4D">
        <w:rPr>
          <w:rFonts w:ascii="Times New Roman" w:hAnsi="Times New Roman"/>
          <w:sz w:val="28"/>
          <w:szCs w:val="28"/>
          <w:lang w:val="ru-RU"/>
        </w:rPr>
        <w:t>:</w:t>
      </w:r>
    </w:p>
    <w:p w14:paraId="4982EF57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1) Частину першу статті 1 після пункту 27 доповнити пунктом такого змісту:</w:t>
      </w:r>
    </w:p>
    <w:p w14:paraId="3F24AFDA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«28) комісійна винагорода за інтерчейндж – міжбанківська плата за обмін, яка є частиною комісійної винагороди за еквайринг, та сплачується еквайринговою установою (еквайром) емітенту електронних платіжних засобів за кожну пряму або опосередковану (через третю особу) безготівкову платіжну операцію, здійснену з використанням платіжної картки».</w:t>
      </w:r>
    </w:p>
    <w:p w14:paraId="7D7B1077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У зв’язку з цим пункти 28 – 97 вважати пунктами 29 – 98 відповідно.</w:t>
      </w:r>
    </w:p>
    <w:p w14:paraId="75339000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2) Статтю 38 після частини тридцять шостої доповнити двома частинами такого змісту:</w:t>
      </w:r>
    </w:p>
    <w:p w14:paraId="56284A0F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«37. Розмір комісійної винагороди за інтерчейндж не може перевищувати відносно суми операції, здійсненої з використанням дебетової платіжної картки – 0,2%, з використанням кредитної платіжної картки – 0,3%.</w:t>
      </w:r>
    </w:p>
    <w:p w14:paraId="62ADF73E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38. Комісійна винагорода за інтерчейндж включає будь-яку узгоджену винагороду (компенсацію, еквівалентну комісійній винагороді за інтерчейндж за предметом або дією), яку отримує емітент, еквайр або будь-який інший посередник у зв’язку з платіжними операціями або пов’язаною діяльністю».</w:t>
      </w:r>
    </w:p>
    <w:p w14:paraId="46F2DE8A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У зв’язку з цим частини тридцять сьому вважати частиною тридцять дев’ятою.</w:t>
      </w:r>
    </w:p>
    <w:p w14:paraId="6E5025E1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3) Статтю 82 після частини восьмої доповнити частиною такого змісту:</w:t>
      </w:r>
    </w:p>
    <w:p w14:paraId="13CA0919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lastRenderedPageBreak/>
        <w:t>«9. Національний банк України здійснює нагляд за додержанням об’єктами оверсайта платіжної інфраструктури встановлених частиною тридцять сьомою статті 38 цього Закону граничних розмірів комісійної винагороди за інтерчейндж при здійсненні безготівкових розрахунків з використанням електронних платіжних засобів».</w:t>
      </w:r>
    </w:p>
    <w:p w14:paraId="48CBCE56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У зв’язку з цим частини дев’яту – чотирнадцяту вважати частинами десятою – п’ятнадцятою.</w:t>
      </w:r>
    </w:p>
    <w:p w14:paraId="4DB7934E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4) Статтю 89 після частини другої доповнити двома частинами такого змісту:</w:t>
      </w:r>
    </w:p>
    <w:p w14:paraId="169AFDEA" w14:textId="16CBF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 xml:space="preserve">«3. За перевищення встановлених </w:t>
      </w:r>
      <w:r w:rsidR="00365299" w:rsidRPr="00824F58">
        <w:rPr>
          <w:rFonts w:ascii="Times New Roman" w:hAnsi="Times New Roman"/>
          <w:sz w:val="28"/>
          <w:szCs w:val="28"/>
        </w:rPr>
        <w:t xml:space="preserve">законом </w:t>
      </w:r>
      <w:r w:rsidRPr="00451B4D">
        <w:rPr>
          <w:rFonts w:ascii="Times New Roman" w:hAnsi="Times New Roman"/>
          <w:sz w:val="28"/>
          <w:szCs w:val="28"/>
        </w:rPr>
        <w:t>граничних розмірів комісійної винагороди за інтерчейндж, до осіб, які є об'єктами оверсайта платіжної інфраструктури, застосовуються заходи впливу (санкції) у виді штрафу у розмірі п’ятиста неоподатковуваних мінімумів доходів громадян за кожен факт такого порушення.</w:t>
      </w:r>
    </w:p>
    <w:p w14:paraId="530BC709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У разі повторних дій, передбачених абзацом першим цієї частини, особа, до якої протягом року було застосовано санкції за таке саме порушення, сплачує штраф в розмірі однієї тисячі неоподатковуваних мінімумів доходів громадян за кожен факт такого порушення.</w:t>
      </w:r>
    </w:p>
    <w:p w14:paraId="05DF739F" w14:textId="77777777" w:rsidR="00A563B6" w:rsidRPr="00451B4D" w:rsidRDefault="00A563B6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4. Порядок контролю додержання граничного розміру комісійної винагороди за інтерчейндж при здійсненні безготівкових розрахунків, встановлення фактів порушень і застосування штрафних санкцій, визначених частиною третьою цієї статті, встановлюється нормативно-правовими актами Національного банку України».</w:t>
      </w:r>
    </w:p>
    <w:p w14:paraId="0954AF49" w14:textId="3DA2229E" w:rsidR="00284D83" w:rsidRPr="00451B4D" w:rsidRDefault="00A563B6" w:rsidP="00284D8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 xml:space="preserve">5) У Розділі VIII </w:t>
      </w:r>
      <w:r w:rsidR="00284D83">
        <w:rPr>
          <w:rFonts w:ascii="Times New Roman" w:hAnsi="Times New Roman"/>
          <w:sz w:val="28"/>
          <w:szCs w:val="28"/>
        </w:rPr>
        <w:t>«</w:t>
      </w:r>
      <w:r w:rsidRPr="00451B4D">
        <w:rPr>
          <w:rFonts w:ascii="Times New Roman" w:hAnsi="Times New Roman"/>
          <w:sz w:val="28"/>
          <w:szCs w:val="28"/>
        </w:rPr>
        <w:t>Прикінцеві</w:t>
      </w:r>
      <w:r w:rsidR="00284D83">
        <w:rPr>
          <w:rFonts w:ascii="Times New Roman" w:hAnsi="Times New Roman"/>
          <w:sz w:val="28"/>
          <w:szCs w:val="28"/>
        </w:rPr>
        <w:t xml:space="preserve"> та перехідні</w:t>
      </w:r>
      <w:r w:rsidRPr="00451B4D">
        <w:rPr>
          <w:rFonts w:ascii="Times New Roman" w:hAnsi="Times New Roman"/>
          <w:sz w:val="28"/>
          <w:szCs w:val="28"/>
        </w:rPr>
        <w:t xml:space="preserve"> положення</w:t>
      </w:r>
      <w:r w:rsidR="00284D83">
        <w:rPr>
          <w:rFonts w:ascii="Times New Roman" w:hAnsi="Times New Roman"/>
          <w:sz w:val="28"/>
          <w:szCs w:val="28"/>
        </w:rPr>
        <w:t>»</w:t>
      </w:r>
      <w:r w:rsidRPr="00451B4D">
        <w:rPr>
          <w:rFonts w:ascii="Times New Roman" w:hAnsi="Times New Roman"/>
          <w:sz w:val="28"/>
          <w:szCs w:val="28"/>
        </w:rPr>
        <w:t>:</w:t>
      </w:r>
    </w:p>
    <w:p w14:paraId="46CB542A" w14:textId="1FD3816C" w:rsidR="00A563B6" w:rsidRPr="00451B4D" w:rsidRDefault="00D05211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B4D">
        <w:rPr>
          <w:rFonts w:ascii="Times New Roman" w:hAnsi="Times New Roman"/>
          <w:sz w:val="28"/>
          <w:szCs w:val="28"/>
        </w:rPr>
        <w:t>а) пункт 1</w:t>
      </w:r>
      <w:r w:rsidR="00A563B6" w:rsidRPr="00451B4D">
        <w:rPr>
          <w:rFonts w:ascii="Times New Roman" w:hAnsi="Times New Roman"/>
          <w:sz w:val="28"/>
          <w:szCs w:val="28"/>
        </w:rPr>
        <w:t xml:space="preserve"> доповнити пунктом </w:t>
      </w:r>
      <w:r w:rsidRPr="00451B4D">
        <w:rPr>
          <w:rFonts w:ascii="Times New Roman" w:hAnsi="Times New Roman"/>
          <w:sz w:val="28"/>
          <w:szCs w:val="28"/>
        </w:rPr>
        <w:t xml:space="preserve">третім </w:t>
      </w:r>
      <w:r w:rsidR="00A563B6" w:rsidRPr="00451B4D">
        <w:rPr>
          <w:rFonts w:ascii="Times New Roman" w:hAnsi="Times New Roman"/>
          <w:sz w:val="28"/>
          <w:szCs w:val="28"/>
        </w:rPr>
        <w:t>такого змісту:</w:t>
      </w:r>
    </w:p>
    <w:p w14:paraId="6359347D" w14:textId="24B41FCC" w:rsidR="00D05211" w:rsidRPr="00451B4D" w:rsidRDefault="00D05211" w:rsidP="00451B4D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«3) частини тридцять сьомої статті 38, що вводиться в дію з 1 січня 2025 року.»;</w:t>
      </w:r>
    </w:p>
    <w:p w14:paraId="1620ADDB" w14:textId="6DC97D3F" w:rsidR="003D60DD" w:rsidRPr="00451B4D" w:rsidRDefault="003D60D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1B4D">
        <w:rPr>
          <w:rFonts w:ascii="Times New Roman" w:hAnsi="Times New Roman"/>
          <w:color w:val="000000"/>
          <w:sz w:val="28"/>
          <w:szCs w:val="28"/>
        </w:rPr>
        <w:t>б) доповнити Розділ новим пунктом 2-1 такого змісту:</w:t>
      </w:r>
    </w:p>
    <w:p w14:paraId="1037C525" w14:textId="3FA5E13A" w:rsidR="003D60DD" w:rsidRPr="00451B4D" w:rsidRDefault="003D60DD" w:rsidP="00451B4D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«2-1. Тимчасово, до 1 січня 2025 року, встановити, що розмір комісійної винагороди за інтерчейндж, не може перевищувати:</w:t>
      </w:r>
    </w:p>
    <w:p w14:paraId="4692E4F9" w14:textId="77777777" w:rsidR="003D60DD" w:rsidRPr="00451B4D" w:rsidRDefault="003D60DD" w:rsidP="00451B4D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 дня введення в дію цього Закону до 31 грудня 2022 року – 1%;</w:t>
      </w:r>
    </w:p>
    <w:p w14:paraId="0C66F7B5" w14:textId="77777777" w:rsidR="003D60DD" w:rsidRPr="00451B4D" w:rsidRDefault="003D60DD" w:rsidP="00451B4D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 1 січня 2023 року до 31 грудня 2023 року – 0,7%;</w:t>
      </w:r>
    </w:p>
    <w:p w14:paraId="67A64FF2" w14:textId="3DD273FE" w:rsidR="003D60DD" w:rsidRPr="00ED7942" w:rsidRDefault="003D60DD" w:rsidP="00ED7942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 1 січня 2024 року до 31 грудня 2024 року – 0,5%».</w:t>
      </w:r>
    </w:p>
    <w:p w14:paraId="404B3452" w14:textId="510B6576" w:rsidR="00816081" w:rsidRPr="00451B4D" w:rsidRDefault="00B3655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ІІ. </w:t>
      </w:r>
      <w:r w:rsidR="00816081"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Прикінцеві та перехідні положення</w:t>
      </w:r>
    </w:p>
    <w:p w14:paraId="61A7B489" w14:textId="02F835BB" w:rsidR="00076E5F" w:rsidRPr="00451B4D" w:rsidRDefault="00816081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</w:t>
      </w:r>
      <w:r w:rsidR="006B4ABD"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6B4ABD"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Цей Закон набирає чинності </w:t>
      </w:r>
      <w:r w:rsidR="00FA0A9F"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та вводиться в дію </w:t>
      </w:r>
      <w:r w:rsidR="006B4ABD" w:rsidRPr="00451B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 дня, наступного за днем його опублікування, крім пункту 3 Розділу І цього Закону, що набирає чинності одночасно з введенням в дію Закону України «Про платіжні послуги». </w:t>
      </w:r>
    </w:p>
    <w:p w14:paraId="1CB16526" w14:textId="16505BD3" w:rsidR="00E95765" w:rsidRPr="00451B4D" w:rsidRDefault="006B4AB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51B4D">
        <w:rPr>
          <w:rFonts w:ascii="Times New Roman" w:eastAsia="Times New Roman" w:hAnsi="Times New Roman"/>
          <w:sz w:val="28"/>
          <w:szCs w:val="28"/>
          <w:lang w:val="ru-RU"/>
        </w:rPr>
        <w:t xml:space="preserve">2. </w:t>
      </w:r>
      <w:r w:rsidR="00E95765" w:rsidRPr="00451B4D">
        <w:rPr>
          <w:rFonts w:ascii="Times New Roman" w:eastAsia="Times New Roman" w:hAnsi="Times New Roman"/>
          <w:sz w:val="28"/>
          <w:szCs w:val="28"/>
        </w:rPr>
        <w:t xml:space="preserve">Національному банку України до дня введення в дію цього Закону </w:t>
      </w:r>
      <w:bookmarkStart w:id="1" w:name="n582"/>
      <w:bookmarkStart w:id="2" w:name="n583"/>
      <w:bookmarkEnd w:id="1"/>
      <w:bookmarkEnd w:id="2"/>
      <w:r w:rsidR="00E95765" w:rsidRPr="00451B4D">
        <w:rPr>
          <w:rFonts w:ascii="Times New Roman" w:eastAsia="Times New Roman" w:hAnsi="Times New Roman"/>
          <w:sz w:val="28"/>
          <w:szCs w:val="28"/>
        </w:rPr>
        <w:t xml:space="preserve">привести свої нормативно-правові акти у відповідність із цим Законом та </w:t>
      </w:r>
      <w:r w:rsidR="00E95765" w:rsidRPr="00451B4D">
        <w:rPr>
          <w:rFonts w:ascii="Times New Roman" w:eastAsia="Times New Roman" w:hAnsi="Times New Roman"/>
          <w:sz w:val="28"/>
          <w:szCs w:val="28"/>
        </w:rPr>
        <w:lastRenderedPageBreak/>
        <w:t>забезпечити прийняття нормативно-правових актів, необхідних для його реалізації.</w:t>
      </w:r>
    </w:p>
    <w:p w14:paraId="600B31E9" w14:textId="77777777" w:rsidR="00E95765" w:rsidRPr="00451B4D" w:rsidRDefault="00E95765" w:rsidP="00451B4D">
      <w:pPr>
        <w:spacing w:before="120" w:after="0" w:line="240" w:lineRule="auto"/>
        <w:ind w:firstLine="709"/>
        <w:jc w:val="both"/>
        <w:rPr>
          <w:rFonts w:ascii="Times New Roman" w:eastAsia="Batang" w:hAnsi="Times New Roman"/>
          <w:color w:val="000000"/>
          <w:sz w:val="28"/>
          <w:szCs w:val="28"/>
          <w:lang w:val="ru-RU" w:eastAsia="ko-KR"/>
        </w:rPr>
      </w:pPr>
    </w:p>
    <w:p w14:paraId="21B00EBD" w14:textId="23B9EA1C" w:rsidR="00F6526D" w:rsidRPr="00451B4D" w:rsidRDefault="00F6526D" w:rsidP="00451B4D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462CF6C" w14:textId="77777777" w:rsidR="00B3655D" w:rsidRPr="00451B4D" w:rsidRDefault="00B3655D" w:rsidP="00451B4D">
      <w:pPr>
        <w:spacing w:before="120" w:after="0" w:line="240" w:lineRule="auto"/>
        <w:jc w:val="both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51B4D">
        <w:rPr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</w:t>
      </w:r>
      <w:r w:rsidRPr="00451B4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Голова Верховної Ради </w:t>
      </w:r>
      <w:r w:rsidRPr="00451B4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ab/>
      </w:r>
      <w:r w:rsidRPr="00451B4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ab/>
      </w:r>
      <w:r w:rsidRPr="00451B4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ab/>
      </w:r>
      <w:r w:rsidRPr="00451B4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ab/>
        <w:t xml:space="preserve">   </w:t>
      </w:r>
      <w:r w:rsidRPr="00451B4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ab/>
        <w:t>Д.О. Разумков</w:t>
      </w:r>
    </w:p>
    <w:p w14:paraId="0DBC6909" w14:textId="77777777" w:rsidR="00B3655D" w:rsidRPr="00451B4D" w:rsidRDefault="00B3655D" w:rsidP="00451B4D">
      <w:pPr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51B4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України</w:t>
      </w:r>
    </w:p>
    <w:p w14:paraId="1016290F" w14:textId="77777777" w:rsidR="00B3655D" w:rsidRPr="00451B4D" w:rsidRDefault="00B3655D" w:rsidP="00451B4D">
      <w:pPr>
        <w:spacing w:before="120" w:after="0" w:line="240" w:lineRule="auto"/>
        <w:ind w:firstLine="567"/>
        <w:jc w:val="both"/>
        <w:rPr>
          <w:sz w:val="28"/>
          <w:szCs w:val="28"/>
          <w:lang w:val="en-US"/>
        </w:rPr>
      </w:pPr>
    </w:p>
    <w:p w14:paraId="3D31CD10" w14:textId="77777777" w:rsidR="00B3655D" w:rsidRPr="00451B4D" w:rsidRDefault="00B3655D" w:rsidP="00451B4D">
      <w:pPr>
        <w:spacing w:before="120" w:after="0"/>
        <w:rPr>
          <w:sz w:val="28"/>
          <w:szCs w:val="28"/>
        </w:rPr>
      </w:pPr>
    </w:p>
    <w:sectPr w:rsidR="00B3655D" w:rsidRPr="00451B4D" w:rsidSect="00BE4D16">
      <w:footerReference w:type="default" r:id="rId10"/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2D73B" w14:textId="77777777" w:rsidR="00CD0B84" w:rsidRDefault="00CD0B84">
      <w:pPr>
        <w:spacing w:after="0" w:line="240" w:lineRule="auto"/>
      </w:pPr>
      <w:r>
        <w:separator/>
      </w:r>
    </w:p>
  </w:endnote>
  <w:endnote w:type="continuationSeparator" w:id="0">
    <w:p w14:paraId="7AC430EF" w14:textId="77777777" w:rsidR="00CD0B84" w:rsidRDefault="00CD0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2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3D801" w14:textId="4F1D2816" w:rsidR="001C4DA9" w:rsidRPr="00277C29" w:rsidRDefault="00B92BB9">
    <w:pPr>
      <w:pStyle w:val="a5"/>
      <w:jc w:val="center"/>
      <w:rPr>
        <w:sz w:val="28"/>
        <w:szCs w:val="28"/>
      </w:rPr>
    </w:pPr>
    <w:r w:rsidRPr="00277C29">
      <w:rPr>
        <w:sz w:val="28"/>
        <w:szCs w:val="28"/>
      </w:rPr>
      <w:fldChar w:fldCharType="begin"/>
    </w:r>
    <w:r w:rsidR="001C4DA9" w:rsidRPr="00277C29">
      <w:rPr>
        <w:sz w:val="28"/>
        <w:szCs w:val="28"/>
      </w:rPr>
      <w:instrText>PAGE   \* MERGEFORMAT</w:instrText>
    </w:r>
    <w:r w:rsidRPr="00277C29">
      <w:rPr>
        <w:sz w:val="28"/>
        <w:szCs w:val="28"/>
      </w:rPr>
      <w:fldChar w:fldCharType="separate"/>
    </w:r>
    <w:r w:rsidR="00AE5D38">
      <w:rPr>
        <w:noProof/>
        <w:sz w:val="28"/>
        <w:szCs w:val="28"/>
      </w:rPr>
      <w:t>2</w:t>
    </w:r>
    <w:r w:rsidRPr="00277C29">
      <w:rPr>
        <w:sz w:val="28"/>
        <w:szCs w:val="28"/>
      </w:rPr>
      <w:fldChar w:fldCharType="end"/>
    </w:r>
  </w:p>
  <w:p w14:paraId="679299C5" w14:textId="77777777" w:rsidR="001C4DA9" w:rsidRDefault="001C4D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D2D3A" w14:textId="77777777" w:rsidR="00CD0B84" w:rsidRDefault="00CD0B84">
      <w:pPr>
        <w:spacing w:after="0" w:line="240" w:lineRule="auto"/>
      </w:pPr>
      <w:r>
        <w:separator/>
      </w:r>
    </w:p>
  </w:footnote>
  <w:footnote w:type="continuationSeparator" w:id="0">
    <w:p w14:paraId="6E05CBCC" w14:textId="77777777" w:rsidR="00CD0B84" w:rsidRDefault="00CD0B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05ECC"/>
    <w:multiLevelType w:val="hybridMultilevel"/>
    <w:tmpl w:val="1D521C7E"/>
    <w:lvl w:ilvl="0" w:tplc="0AD03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23E138F"/>
    <w:multiLevelType w:val="multilevel"/>
    <w:tmpl w:val="DA42D352"/>
    <w:lvl w:ilvl="0">
      <w:start w:val="1"/>
      <w:numFmt w:val="decimal"/>
      <w:suff w:val="space"/>
      <w:lvlText w:val="%1."/>
      <w:lvlJc w:val="left"/>
      <w:pPr>
        <w:ind w:left="171" w:firstLine="397"/>
      </w:pPr>
      <w:rPr>
        <w:rFonts w:cs="Times New Roman"/>
        <w:b w:val="0"/>
        <w:i w:val="0"/>
        <w:caps w:val="0"/>
        <w:strike w:val="0"/>
        <w:dstrike w:val="0"/>
        <w:vanish w:val="0"/>
        <w:webHidden w:val="0"/>
        <w:color w:val="auto"/>
        <w:u w:val="none"/>
        <w:effect w:val="none"/>
        <w:vertAlign w:val="baseline"/>
        <w:specVanish w:val="0"/>
      </w:rPr>
    </w:lvl>
    <w:lvl w:ilvl="1">
      <w:start w:val="1"/>
      <w:numFmt w:val="decimal"/>
      <w:suff w:val="space"/>
      <w:lvlText w:val="%2)"/>
      <w:lvlJc w:val="left"/>
      <w:pPr>
        <w:ind w:left="709" w:firstLine="39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suff w:val="space"/>
      <w:lvlText w:val="%3)"/>
      <w:lvlJc w:val="left"/>
      <w:pPr>
        <w:ind w:left="709" w:firstLine="397"/>
      </w:pPr>
      <w:rPr>
        <w:rFonts w:cs="Times New Roman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00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50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01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51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02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596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55D"/>
    <w:rsid w:val="0000207A"/>
    <w:rsid w:val="00043FD4"/>
    <w:rsid w:val="00063E80"/>
    <w:rsid w:val="000640F3"/>
    <w:rsid w:val="00076E5F"/>
    <w:rsid w:val="0009217C"/>
    <w:rsid w:val="000A3A50"/>
    <w:rsid w:val="000B223C"/>
    <w:rsid w:val="000D63A5"/>
    <w:rsid w:val="000E31C6"/>
    <w:rsid w:val="000E6CE5"/>
    <w:rsid w:val="0010475A"/>
    <w:rsid w:val="00167456"/>
    <w:rsid w:val="00180BDE"/>
    <w:rsid w:val="001968B7"/>
    <w:rsid w:val="001969E9"/>
    <w:rsid w:val="001975DF"/>
    <w:rsid w:val="001C4DA9"/>
    <w:rsid w:val="001E44BC"/>
    <w:rsid w:val="002044DB"/>
    <w:rsid w:val="00222FFA"/>
    <w:rsid w:val="0024042B"/>
    <w:rsid w:val="00243182"/>
    <w:rsid w:val="00270D36"/>
    <w:rsid w:val="00277C29"/>
    <w:rsid w:val="00284D83"/>
    <w:rsid w:val="00292554"/>
    <w:rsid w:val="002C0CEB"/>
    <w:rsid w:val="002C2768"/>
    <w:rsid w:val="002D759D"/>
    <w:rsid w:val="0030435F"/>
    <w:rsid w:val="00312022"/>
    <w:rsid w:val="00341353"/>
    <w:rsid w:val="00344457"/>
    <w:rsid w:val="003535DB"/>
    <w:rsid w:val="00365299"/>
    <w:rsid w:val="00380869"/>
    <w:rsid w:val="003C6647"/>
    <w:rsid w:val="003D60DD"/>
    <w:rsid w:val="003E44D9"/>
    <w:rsid w:val="00445914"/>
    <w:rsid w:val="00451B4D"/>
    <w:rsid w:val="00453EB7"/>
    <w:rsid w:val="004740FC"/>
    <w:rsid w:val="004A433E"/>
    <w:rsid w:val="00516CCE"/>
    <w:rsid w:val="005415CB"/>
    <w:rsid w:val="005479D4"/>
    <w:rsid w:val="0055676E"/>
    <w:rsid w:val="00570FFB"/>
    <w:rsid w:val="005E7A1D"/>
    <w:rsid w:val="005F1973"/>
    <w:rsid w:val="00647F58"/>
    <w:rsid w:val="006710D9"/>
    <w:rsid w:val="00676E06"/>
    <w:rsid w:val="00682233"/>
    <w:rsid w:val="006A06D8"/>
    <w:rsid w:val="006B4ABD"/>
    <w:rsid w:val="006E26A2"/>
    <w:rsid w:val="00717FD6"/>
    <w:rsid w:val="007340AD"/>
    <w:rsid w:val="00745FDA"/>
    <w:rsid w:val="00767D50"/>
    <w:rsid w:val="00790135"/>
    <w:rsid w:val="007F030C"/>
    <w:rsid w:val="00816081"/>
    <w:rsid w:val="00824F58"/>
    <w:rsid w:val="008B778A"/>
    <w:rsid w:val="008C0AB3"/>
    <w:rsid w:val="008F068E"/>
    <w:rsid w:val="00901256"/>
    <w:rsid w:val="00951AA2"/>
    <w:rsid w:val="00981D86"/>
    <w:rsid w:val="009A7C8F"/>
    <w:rsid w:val="009E2B90"/>
    <w:rsid w:val="00A15C2A"/>
    <w:rsid w:val="00A3678F"/>
    <w:rsid w:val="00A563B6"/>
    <w:rsid w:val="00AD11F2"/>
    <w:rsid w:val="00AD3F37"/>
    <w:rsid w:val="00AE5D38"/>
    <w:rsid w:val="00AF480D"/>
    <w:rsid w:val="00B149E2"/>
    <w:rsid w:val="00B24815"/>
    <w:rsid w:val="00B3655D"/>
    <w:rsid w:val="00B47FD0"/>
    <w:rsid w:val="00B92BB9"/>
    <w:rsid w:val="00B95739"/>
    <w:rsid w:val="00B96E0B"/>
    <w:rsid w:val="00BA004D"/>
    <w:rsid w:val="00BA197F"/>
    <w:rsid w:val="00BB6E2A"/>
    <w:rsid w:val="00BE4D16"/>
    <w:rsid w:val="00BE7CF7"/>
    <w:rsid w:val="00BF789C"/>
    <w:rsid w:val="00C02E34"/>
    <w:rsid w:val="00C21C56"/>
    <w:rsid w:val="00C37A6C"/>
    <w:rsid w:val="00C9795E"/>
    <w:rsid w:val="00CD0B84"/>
    <w:rsid w:val="00CE2C58"/>
    <w:rsid w:val="00D05211"/>
    <w:rsid w:val="00D65C04"/>
    <w:rsid w:val="00DA0152"/>
    <w:rsid w:val="00DC5253"/>
    <w:rsid w:val="00DF45C9"/>
    <w:rsid w:val="00E61E30"/>
    <w:rsid w:val="00E70AD6"/>
    <w:rsid w:val="00E95765"/>
    <w:rsid w:val="00EA3381"/>
    <w:rsid w:val="00EB26EF"/>
    <w:rsid w:val="00EC389E"/>
    <w:rsid w:val="00ED5D3D"/>
    <w:rsid w:val="00ED7942"/>
    <w:rsid w:val="00EE7B45"/>
    <w:rsid w:val="00F009C2"/>
    <w:rsid w:val="00F31315"/>
    <w:rsid w:val="00F644E8"/>
    <w:rsid w:val="00F6526D"/>
    <w:rsid w:val="00FA0A9F"/>
    <w:rsid w:val="00FB680E"/>
    <w:rsid w:val="00FD4645"/>
    <w:rsid w:val="00FD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CCB5EF"/>
  <w15:docId w15:val="{EB7976FA-3087-7D4B-8CE4-EA3B0BDD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76E"/>
    <w:rPr>
      <w:lang w:val="uk-UA" w:eastAsia="uk-UA"/>
    </w:rPr>
  </w:style>
  <w:style w:type="paragraph" w:styleId="2">
    <w:name w:val="heading 2"/>
    <w:basedOn w:val="a"/>
    <w:link w:val="20"/>
    <w:uiPriority w:val="99"/>
    <w:qFormat/>
    <w:rsid w:val="00B3655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B3655D"/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paragraph" w:styleId="a3">
    <w:name w:val="header"/>
    <w:basedOn w:val="a"/>
    <w:link w:val="a4"/>
    <w:uiPriority w:val="99"/>
    <w:rsid w:val="00B3655D"/>
    <w:pPr>
      <w:tabs>
        <w:tab w:val="center" w:pos="4819"/>
        <w:tab w:val="right" w:pos="9639"/>
      </w:tabs>
      <w:spacing w:after="0" w:line="240" w:lineRule="auto"/>
    </w:pPr>
    <w:rPr>
      <w:rFonts w:ascii="Calibri" w:hAnsi="Calibri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B3655D"/>
    <w:rPr>
      <w:rFonts w:ascii="Calibri" w:hAnsi="Calibri" w:cs="Times New Roman"/>
      <w:lang w:eastAsia="en-US"/>
    </w:rPr>
  </w:style>
  <w:style w:type="paragraph" w:styleId="a5">
    <w:name w:val="footer"/>
    <w:basedOn w:val="a"/>
    <w:link w:val="a6"/>
    <w:uiPriority w:val="99"/>
    <w:rsid w:val="00B3655D"/>
    <w:pPr>
      <w:tabs>
        <w:tab w:val="center" w:pos="4819"/>
        <w:tab w:val="right" w:pos="9639"/>
      </w:tabs>
      <w:spacing w:after="0" w:line="240" w:lineRule="auto"/>
    </w:pPr>
    <w:rPr>
      <w:rFonts w:ascii="Calibri" w:hAnsi="Calibri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B3655D"/>
    <w:rPr>
      <w:rFonts w:ascii="Calibri" w:hAnsi="Calibri" w:cs="Times New Roman"/>
      <w:lang w:eastAsia="en-US"/>
    </w:rPr>
  </w:style>
  <w:style w:type="paragraph" w:styleId="a7">
    <w:name w:val="List Paragraph"/>
    <w:basedOn w:val="a"/>
    <w:uiPriority w:val="34"/>
    <w:qFormat/>
    <w:rsid w:val="00816081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F6526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6526D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F6526D"/>
    <w:rPr>
      <w:sz w:val="20"/>
      <w:szCs w:val="20"/>
      <w:lang w:val="uk-UA" w:eastAsia="uk-UA"/>
    </w:rPr>
  </w:style>
  <w:style w:type="paragraph" w:styleId="ab">
    <w:name w:val="Balloon Text"/>
    <w:basedOn w:val="a"/>
    <w:link w:val="ac"/>
    <w:uiPriority w:val="99"/>
    <w:rsid w:val="00F65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rsid w:val="00F6526D"/>
    <w:rPr>
      <w:rFonts w:ascii="Segoe UI" w:hAnsi="Segoe UI" w:cs="Segoe UI"/>
      <w:sz w:val="18"/>
      <w:szCs w:val="18"/>
      <w:lang w:val="uk-UA" w:eastAsia="uk-UA"/>
    </w:rPr>
  </w:style>
  <w:style w:type="table" w:styleId="ad">
    <w:name w:val="Table Grid"/>
    <w:basedOn w:val="a1"/>
    <w:uiPriority w:val="39"/>
    <w:rsid w:val="003D60DD"/>
    <w:pPr>
      <w:spacing w:after="0" w:line="240" w:lineRule="auto"/>
    </w:pPr>
    <w:rPr>
      <w:rFonts w:eastAsiaTheme="minorHAnsi" w:cstheme="minorBidi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9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442509-C37C-485A-B184-5DB6DEF6BC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7E6F1-481F-4019-A684-2BFDD58AE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0D70DD-B64C-4F52-A025-2B43CD149B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4136</Words>
  <Characters>2358</Characters>
  <Application>Microsoft Office Word</Application>
  <DocSecurity>0</DocSecurity>
  <Lines>19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2021-07-06T14:23:00Z</dcterms:created>
  <dcterms:modified xsi:type="dcterms:W3CDTF">2021-07-06T14:23:00Z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