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57BD46" w14:textId="20A870C6" w:rsidR="00306376" w:rsidRPr="008610FD" w:rsidRDefault="00F0066F" w:rsidP="008610FD">
      <w:pPr>
        <w:spacing w:before="120" w:after="0" w:line="240" w:lineRule="auto"/>
        <w:jc w:val="center"/>
        <w:rPr>
          <w:rFonts w:ascii="Times New Roman" w:hAnsi="Times New Roman"/>
          <w:b/>
          <w:bCs/>
          <w:color w:val="000000"/>
          <w:sz w:val="28"/>
          <w:szCs w:val="28"/>
          <w:lang w:eastAsia="ru-RU"/>
        </w:rPr>
      </w:pPr>
      <w:bookmarkStart w:id="0" w:name="_GoBack"/>
      <w:bookmarkEnd w:id="0"/>
      <w:r>
        <w:rPr>
          <w:rFonts w:ascii="Times New Roman" w:hAnsi="Times New Roman"/>
          <w:b/>
          <w:bCs/>
          <w:color w:val="000000"/>
          <w:sz w:val="28"/>
          <w:szCs w:val="28"/>
          <w:lang w:eastAsia="ru-RU"/>
        </w:rPr>
        <w:t>ПОЯСНЮВАЛЬНА ЗАПИСКА</w:t>
      </w:r>
      <w:r w:rsidR="007C202D">
        <w:rPr>
          <w:rFonts w:ascii="Times New Roman" w:hAnsi="Times New Roman"/>
          <w:b/>
          <w:bCs/>
          <w:color w:val="000000"/>
          <w:sz w:val="28"/>
          <w:szCs w:val="28"/>
          <w:lang w:val="ru-RU" w:eastAsia="ru-RU"/>
        </w:rPr>
        <w:t xml:space="preserve"> </w:t>
      </w:r>
    </w:p>
    <w:p w14:paraId="06F5417D" w14:textId="77777777" w:rsidR="007C202D" w:rsidRPr="0008773D" w:rsidRDefault="007C202D" w:rsidP="008610FD">
      <w:pPr>
        <w:spacing w:before="120" w:after="0" w:line="240" w:lineRule="auto"/>
        <w:jc w:val="center"/>
        <w:rPr>
          <w:rFonts w:ascii="Times New Roman" w:hAnsi="Times New Roman"/>
          <w:b/>
          <w:sz w:val="28"/>
          <w:szCs w:val="28"/>
        </w:rPr>
      </w:pPr>
      <w:r w:rsidRPr="0008773D">
        <w:rPr>
          <w:rFonts w:ascii="Times New Roman" w:hAnsi="Times New Roman"/>
          <w:b/>
          <w:sz w:val="28"/>
          <w:szCs w:val="28"/>
        </w:rPr>
        <w:t xml:space="preserve">до проекту Закону України «Про внесення змін до деяких законів України щодо </w:t>
      </w:r>
      <w:r w:rsidRPr="00510D73">
        <w:rPr>
          <w:rFonts w:ascii="Times New Roman" w:hAnsi="Times New Roman"/>
          <w:b/>
          <w:sz w:val="28"/>
          <w:szCs w:val="28"/>
          <w:lang w:val="ru-RU"/>
        </w:rPr>
        <w:t xml:space="preserve">законодавчого </w:t>
      </w:r>
      <w:r w:rsidRPr="0008773D">
        <w:rPr>
          <w:rFonts w:ascii="Times New Roman" w:hAnsi="Times New Roman"/>
          <w:b/>
          <w:sz w:val="28"/>
          <w:szCs w:val="28"/>
        </w:rPr>
        <w:t>регулювання комісійної винагороди за інтерчейндж</w:t>
      </w:r>
      <w:r w:rsidRPr="0008773D">
        <w:rPr>
          <w:rFonts w:ascii="Times New Roman" w:hAnsi="Times New Roman"/>
          <w:b/>
          <w:sz w:val="28"/>
          <w:szCs w:val="28"/>
          <w:lang w:val="ru-RU"/>
        </w:rPr>
        <w:t xml:space="preserve"> </w:t>
      </w:r>
      <w:r w:rsidRPr="00510D73">
        <w:rPr>
          <w:rFonts w:ascii="Times New Roman" w:hAnsi="Times New Roman"/>
          <w:b/>
          <w:sz w:val="28"/>
          <w:szCs w:val="28"/>
          <w:lang w:val="ru-RU"/>
        </w:rPr>
        <w:t xml:space="preserve">відповідно до </w:t>
      </w:r>
      <w:r w:rsidRPr="00510D73">
        <w:rPr>
          <w:rFonts w:ascii="Times New Roman" w:hAnsi="Times New Roman"/>
          <w:b/>
          <w:sz w:val="28"/>
          <w:szCs w:val="28"/>
        </w:rPr>
        <w:t>положень Регламенту 2015/751 Європейського Парламенту та Ради від 29 квітня 2015 року»</w:t>
      </w:r>
    </w:p>
    <w:p w14:paraId="3A050524" w14:textId="77777777" w:rsidR="00306376" w:rsidRDefault="00306376" w:rsidP="008610FD">
      <w:pPr>
        <w:spacing w:before="120" w:after="0" w:line="240" w:lineRule="auto"/>
        <w:jc w:val="center"/>
        <w:rPr>
          <w:rFonts w:ascii="Times New Roman" w:hAnsi="Times New Roman"/>
          <w:b/>
          <w:bCs/>
          <w:color w:val="000000"/>
          <w:sz w:val="28"/>
          <w:szCs w:val="28"/>
          <w:lang w:eastAsia="ru-RU"/>
        </w:rPr>
      </w:pPr>
    </w:p>
    <w:p w14:paraId="6DA30054" w14:textId="77777777" w:rsidR="00306376" w:rsidRDefault="00F0066F" w:rsidP="008610FD">
      <w:pPr>
        <w:pStyle w:val="a3"/>
        <w:spacing w:before="120" w:after="0" w:line="240" w:lineRule="auto"/>
        <w:ind w:left="0" w:firstLine="709"/>
        <w:jc w:val="both"/>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1. Обґрунтування необхідності прийняття законопроекту</w:t>
      </w:r>
    </w:p>
    <w:p w14:paraId="215096F2" w14:textId="49027842" w:rsidR="00306376" w:rsidRPr="0008773D" w:rsidRDefault="00F0066F" w:rsidP="008610FD">
      <w:pPr>
        <w:pStyle w:val="aa"/>
        <w:spacing w:before="120"/>
        <w:ind w:firstLine="709"/>
        <w:jc w:val="both"/>
        <w:rPr>
          <w:rFonts w:ascii="Times New Roman" w:hAnsi="Times New Roman" w:cs="Times New Roman"/>
          <w:sz w:val="28"/>
          <w:szCs w:val="28"/>
        </w:rPr>
      </w:pPr>
      <w:r w:rsidRPr="0008773D">
        <w:rPr>
          <w:rFonts w:ascii="Times New Roman" w:hAnsi="Times New Roman" w:cs="Times New Roman"/>
          <w:sz w:val="28"/>
          <w:szCs w:val="28"/>
        </w:rPr>
        <w:t xml:space="preserve">Проект Закону України «Про внесення змін до деяких законів України </w:t>
      </w:r>
      <w:r w:rsidR="00663900" w:rsidRPr="0008773D">
        <w:rPr>
          <w:rFonts w:ascii="Times New Roman" w:hAnsi="Times New Roman"/>
          <w:b/>
          <w:sz w:val="28"/>
          <w:szCs w:val="28"/>
        </w:rPr>
        <w:t>щодо</w:t>
      </w:r>
      <w:r w:rsidR="00663900" w:rsidRPr="00510D73">
        <w:rPr>
          <w:rFonts w:ascii="Times New Roman" w:hAnsi="Times New Roman"/>
          <w:b/>
          <w:sz w:val="28"/>
          <w:szCs w:val="28"/>
        </w:rPr>
        <w:t xml:space="preserve"> законодавчого регулювання комісійної винагороди за </w:t>
      </w:r>
      <w:r w:rsidR="00663900" w:rsidRPr="0008773D">
        <w:rPr>
          <w:rFonts w:ascii="Times New Roman" w:hAnsi="Times New Roman"/>
          <w:b/>
          <w:sz w:val="28"/>
          <w:szCs w:val="28"/>
        </w:rPr>
        <w:t>інтерчейндж</w:t>
      </w:r>
      <w:r w:rsidR="00663900" w:rsidRPr="00510D73">
        <w:rPr>
          <w:rFonts w:ascii="Times New Roman" w:hAnsi="Times New Roman"/>
          <w:b/>
          <w:sz w:val="28"/>
          <w:szCs w:val="28"/>
        </w:rPr>
        <w:t xml:space="preserve"> відповідно до положень Регламенту 2015/751 Європейського Парламенту та Ради від 29 квітня 2015 року»</w:t>
      </w:r>
      <w:r w:rsidRPr="0008773D">
        <w:rPr>
          <w:rFonts w:ascii="Times New Roman" w:hAnsi="Times New Roman" w:cs="Times New Roman"/>
          <w:sz w:val="28"/>
          <w:szCs w:val="28"/>
        </w:rPr>
        <w:t xml:space="preserve">» (далі – проект Закону України) розроблено на виконання рішення </w:t>
      </w:r>
      <w:r w:rsidRPr="00510D73">
        <w:rPr>
          <w:rStyle w:val="a9"/>
          <w:rFonts w:ascii="Times New Roman" w:hAnsi="Times New Roman"/>
          <w:i w:val="0"/>
          <w:sz w:val="28"/>
          <w:szCs w:val="28"/>
          <w:bdr w:val="none" w:sz="0" w:space="0" w:color="auto" w:frame="1"/>
        </w:rPr>
        <w:t xml:space="preserve">Національної ради реформ при </w:t>
      </w:r>
      <w:r w:rsidR="00F0745E" w:rsidRPr="00510D73">
        <w:rPr>
          <w:rStyle w:val="a9"/>
          <w:rFonts w:ascii="Times New Roman" w:hAnsi="Times New Roman"/>
          <w:i w:val="0"/>
          <w:sz w:val="28"/>
          <w:szCs w:val="28"/>
          <w:bdr w:val="none" w:sz="0" w:space="0" w:color="auto" w:frame="1"/>
        </w:rPr>
        <w:t>П</w:t>
      </w:r>
      <w:r w:rsidRPr="00510D73">
        <w:rPr>
          <w:rStyle w:val="a9"/>
          <w:rFonts w:ascii="Times New Roman" w:hAnsi="Times New Roman"/>
          <w:i w:val="0"/>
          <w:sz w:val="28"/>
          <w:szCs w:val="28"/>
          <w:bdr w:val="none" w:sz="0" w:space="0" w:color="auto" w:frame="1"/>
        </w:rPr>
        <w:t xml:space="preserve">резидентові України від 19 березня 2021 року, яким було підтримано ініціативу </w:t>
      </w:r>
      <w:r w:rsidR="00663900" w:rsidRPr="00510D73">
        <w:rPr>
          <w:rStyle w:val="a9"/>
          <w:rFonts w:ascii="Times New Roman" w:hAnsi="Times New Roman"/>
          <w:i w:val="0"/>
          <w:sz w:val="28"/>
          <w:szCs w:val="28"/>
          <w:bdr w:val="none" w:sz="0" w:space="0" w:color="auto" w:frame="1"/>
        </w:rPr>
        <w:t xml:space="preserve">щодо </w:t>
      </w:r>
      <w:r w:rsidRPr="00510D73">
        <w:rPr>
          <w:rStyle w:val="a9"/>
          <w:rFonts w:ascii="Times New Roman" w:hAnsi="Times New Roman"/>
          <w:i w:val="0"/>
          <w:sz w:val="28"/>
          <w:szCs w:val="28"/>
          <w:bdr w:val="none" w:sz="0" w:space="0" w:color="auto" w:frame="1"/>
        </w:rPr>
        <w:t>законодавч</w:t>
      </w:r>
      <w:r w:rsidR="00663900" w:rsidRPr="00510D73">
        <w:rPr>
          <w:rStyle w:val="a9"/>
          <w:rFonts w:ascii="Times New Roman" w:hAnsi="Times New Roman"/>
          <w:i w:val="0"/>
          <w:sz w:val="28"/>
          <w:szCs w:val="28"/>
          <w:bdr w:val="none" w:sz="0" w:space="0" w:color="auto" w:frame="1"/>
        </w:rPr>
        <w:t>ого</w:t>
      </w:r>
      <w:r w:rsidRPr="00510D73">
        <w:rPr>
          <w:rStyle w:val="a9"/>
          <w:rFonts w:ascii="Times New Roman" w:hAnsi="Times New Roman"/>
          <w:i w:val="0"/>
          <w:sz w:val="28"/>
          <w:szCs w:val="28"/>
          <w:bdr w:val="none" w:sz="0" w:space="0" w:color="auto" w:frame="1"/>
        </w:rPr>
        <w:t xml:space="preserve"> обмеження комісії за інтерчейндж </w:t>
      </w:r>
      <w:r w:rsidRPr="0008773D">
        <w:rPr>
          <w:rFonts w:ascii="Times New Roman" w:hAnsi="Times New Roman" w:cs="Times New Roman"/>
          <w:sz w:val="28"/>
          <w:szCs w:val="28"/>
        </w:rPr>
        <w:t xml:space="preserve">з метою зниження фінансового навантаження на </w:t>
      </w:r>
      <w:r w:rsidR="00663900" w:rsidRPr="0008773D">
        <w:rPr>
          <w:rFonts w:ascii="Times New Roman" w:hAnsi="Times New Roman" w:cs="Times New Roman"/>
          <w:sz w:val="28"/>
          <w:szCs w:val="28"/>
        </w:rPr>
        <w:t>бізнес</w:t>
      </w:r>
      <w:r w:rsidRPr="0008773D">
        <w:rPr>
          <w:rFonts w:ascii="Times New Roman" w:hAnsi="Times New Roman" w:cs="Times New Roman"/>
          <w:sz w:val="28"/>
          <w:szCs w:val="28"/>
        </w:rPr>
        <w:t>, що прийма</w:t>
      </w:r>
      <w:r w:rsidR="00663900" w:rsidRPr="0008773D">
        <w:rPr>
          <w:rFonts w:ascii="Times New Roman" w:hAnsi="Times New Roman" w:cs="Times New Roman"/>
          <w:sz w:val="28"/>
          <w:szCs w:val="28"/>
        </w:rPr>
        <w:t>є</w:t>
      </w:r>
      <w:r w:rsidRPr="0008773D">
        <w:rPr>
          <w:rFonts w:ascii="Times New Roman" w:hAnsi="Times New Roman" w:cs="Times New Roman"/>
          <w:sz w:val="28"/>
          <w:szCs w:val="28"/>
        </w:rPr>
        <w:t xml:space="preserve"> оплату за товари (роботи, послуги) шляхом безготівкових розрахунків з використанням платіжних карток.</w:t>
      </w:r>
    </w:p>
    <w:p w14:paraId="38E482EB" w14:textId="2A53FB30" w:rsidR="008D1798" w:rsidRPr="001D61A4" w:rsidRDefault="00F0066F" w:rsidP="008610FD">
      <w:pPr>
        <w:pStyle w:val="aa"/>
        <w:spacing w:before="120"/>
        <w:ind w:firstLine="709"/>
        <w:jc w:val="both"/>
        <w:rPr>
          <w:rFonts w:ascii="Times New Roman" w:hAnsi="Times New Roman" w:cs="Times New Roman"/>
          <w:sz w:val="28"/>
          <w:szCs w:val="28"/>
          <w:lang w:val="ru-RU"/>
        </w:rPr>
      </w:pPr>
      <w:r w:rsidRPr="0008773D">
        <w:rPr>
          <w:rFonts w:ascii="Times New Roman" w:hAnsi="Times New Roman" w:cs="Times New Roman"/>
          <w:sz w:val="28"/>
          <w:szCs w:val="28"/>
        </w:rPr>
        <w:t xml:space="preserve">Проект закону розроблено експертами </w:t>
      </w:r>
      <w:r w:rsidR="007577B4">
        <w:rPr>
          <w:rFonts w:ascii="Times New Roman" w:hAnsi="Times New Roman" w:cs="Times New Roman"/>
          <w:sz w:val="28"/>
          <w:szCs w:val="28"/>
          <w:lang w:val="ru-RU"/>
        </w:rPr>
        <w:t>ГО «</w:t>
      </w:r>
      <w:r w:rsidRPr="0008773D">
        <w:rPr>
          <w:rFonts w:ascii="Times New Roman" w:hAnsi="Times New Roman" w:cs="Times New Roman"/>
          <w:sz w:val="28"/>
          <w:szCs w:val="28"/>
        </w:rPr>
        <w:t>Офіс простих рішень та результатів</w:t>
      </w:r>
      <w:r w:rsidR="007577B4">
        <w:rPr>
          <w:rFonts w:ascii="Times New Roman" w:hAnsi="Times New Roman" w:cs="Times New Roman"/>
          <w:sz w:val="28"/>
          <w:szCs w:val="28"/>
          <w:lang w:val="ru-RU"/>
        </w:rPr>
        <w:t>»</w:t>
      </w:r>
      <w:r w:rsidR="001D61A4" w:rsidRPr="001D61A4">
        <w:rPr>
          <w:rFonts w:ascii="Times New Roman" w:hAnsi="Times New Roman" w:cs="Times New Roman"/>
          <w:sz w:val="28"/>
          <w:szCs w:val="28"/>
          <w:lang w:val="ru-RU"/>
        </w:rPr>
        <w:t>.</w:t>
      </w:r>
    </w:p>
    <w:p w14:paraId="2BBB8247" w14:textId="2FF4922D" w:rsidR="00306376" w:rsidRPr="001B6B5F" w:rsidRDefault="001B6B5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008D1798" w:rsidRPr="008D1798">
        <w:rPr>
          <w:rFonts w:ascii="Times New Roman" w:hAnsi="Times New Roman" w:cs="Times New Roman"/>
          <w:sz w:val="28"/>
          <w:szCs w:val="28"/>
          <w:lang w:val="ru-RU"/>
        </w:rPr>
        <w:t>Підхід щодо законодавчого обмеження комісійної винагороди інтерчейндж був підтриманий більш ніж десятьма асоціаціями, які представляють інтереси 300 000 робото</w:t>
      </w:r>
      <w:r w:rsidR="009F2A8B">
        <w:rPr>
          <w:rFonts w:ascii="Times New Roman" w:hAnsi="Times New Roman" w:cs="Times New Roman"/>
          <w:sz w:val="28"/>
          <w:szCs w:val="28"/>
          <w:lang w:val="ru-RU"/>
        </w:rPr>
        <w:t>давців, серед яких, зокрема,</w:t>
      </w:r>
      <w:r w:rsidR="00593DF8">
        <w:rPr>
          <w:rFonts w:ascii="Times New Roman" w:hAnsi="Times New Roman" w:cs="Times New Roman"/>
          <w:sz w:val="28"/>
          <w:szCs w:val="28"/>
          <w:lang w:val="ru-RU"/>
        </w:rPr>
        <w:t xml:space="preserve"> Українська рада бізнесу,</w:t>
      </w:r>
      <w:r w:rsidR="009F2A8B">
        <w:rPr>
          <w:rFonts w:ascii="Times New Roman" w:hAnsi="Times New Roman" w:cs="Times New Roman"/>
          <w:sz w:val="28"/>
          <w:szCs w:val="28"/>
          <w:lang w:val="ru-RU"/>
        </w:rPr>
        <w:t xml:space="preserve"> </w:t>
      </w:r>
      <w:r w:rsidR="00593DF8" w:rsidRPr="008D1798">
        <w:rPr>
          <w:rFonts w:ascii="Times New Roman" w:hAnsi="Times New Roman" w:cs="Times New Roman"/>
          <w:sz w:val="28"/>
          <w:szCs w:val="28"/>
          <w:lang w:val="ru-RU"/>
        </w:rPr>
        <w:t xml:space="preserve">Спілка українських підприємців, </w:t>
      </w:r>
      <w:r w:rsidR="008D1798" w:rsidRPr="008D1798">
        <w:rPr>
          <w:rFonts w:ascii="Times New Roman" w:hAnsi="Times New Roman" w:cs="Times New Roman"/>
          <w:sz w:val="28"/>
          <w:szCs w:val="28"/>
          <w:lang w:val="ru-RU"/>
        </w:rPr>
        <w:t>Асоціація рітейлерів України, Громадська спілка «Українська ресторанна асоціація», Громадська спілка «Аптечна професійна асоціація України», Асоціація підприємств інформаційних технологій України, Українська Бізнес Асоціація, Асоціація «Парфумерія та косметика України», «Всеукраїнське братство бджолярів України», Ліга українських промисловців – виробників взуття, шкіргалантереї, хутрових виробів і шкіряних товарів «УКРШКІРВЗУТТЯПРОМ», Федерація Роботодавців України, Союз кінотеатрів України, ГС «Українська асоціація індустрії іграшок», БІЗНЕС 100, ГО «CEO Клуб»</w:t>
      </w:r>
      <w:r w:rsidR="008D1798">
        <w:rPr>
          <w:rFonts w:ascii="Times New Roman" w:hAnsi="Times New Roman" w:cs="Times New Roman"/>
          <w:sz w:val="28"/>
          <w:szCs w:val="28"/>
          <w:lang w:val="ru-RU"/>
        </w:rPr>
        <w:t>.</w:t>
      </w:r>
    </w:p>
    <w:p w14:paraId="5381B8C1" w14:textId="7EDA120B"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Протягом останніх 5 років в Україні значно зріс рівень «проникнення» безготівкових розрахунків, як за показниками зростання мережі </w:t>
      </w:r>
      <w:r w:rsidR="0008773D">
        <w:rPr>
          <w:rFonts w:ascii="Times New Roman" w:hAnsi="Times New Roman" w:cs="Times New Roman"/>
          <w:sz w:val="28"/>
          <w:szCs w:val="28"/>
        </w:rPr>
        <w:br/>
      </w:r>
      <w:r>
        <w:rPr>
          <w:rFonts w:ascii="Times New Roman" w:hAnsi="Times New Roman" w:cs="Times New Roman"/>
          <w:sz w:val="28"/>
          <w:szCs w:val="28"/>
        </w:rPr>
        <w:t>POS-терміналів, так і за кількістю й обсягами безготівкових операцій серед населення України, відчутно скоро</w:t>
      </w:r>
      <w:r w:rsidR="00663900">
        <w:rPr>
          <w:rFonts w:ascii="Times New Roman" w:hAnsi="Times New Roman" w:cs="Times New Roman"/>
          <w:sz w:val="28"/>
          <w:szCs w:val="28"/>
        </w:rPr>
        <w:t>тивши</w:t>
      </w:r>
      <w:r>
        <w:rPr>
          <w:rFonts w:ascii="Times New Roman" w:hAnsi="Times New Roman" w:cs="Times New Roman"/>
          <w:sz w:val="28"/>
          <w:szCs w:val="28"/>
        </w:rPr>
        <w:t xml:space="preserve"> відставання </w:t>
      </w:r>
      <w:r w:rsidR="0008773D">
        <w:rPr>
          <w:rFonts w:ascii="Times New Roman" w:hAnsi="Times New Roman" w:cs="Times New Roman"/>
          <w:sz w:val="28"/>
          <w:szCs w:val="28"/>
        </w:rPr>
        <w:t xml:space="preserve">України у цій сфері </w:t>
      </w:r>
      <w:r>
        <w:rPr>
          <w:rFonts w:ascii="Times New Roman" w:hAnsi="Times New Roman" w:cs="Times New Roman"/>
          <w:sz w:val="28"/>
          <w:szCs w:val="28"/>
        </w:rPr>
        <w:t>від країн Європи.</w:t>
      </w:r>
    </w:p>
    <w:p w14:paraId="3F480B2D" w14:textId="3FEEBF85" w:rsidR="0008773D" w:rsidRPr="00510D73" w:rsidRDefault="001B2A6F" w:rsidP="008610FD">
      <w:pPr>
        <w:pStyle w:val="aa"/>
        <w:spacing w:before="120"/>
        <w:ind w:firstLine="709"/>
        <w:jc w:val="both"/>
        <w:rPr>
          <w:rFonts w:ascii="Times New Roman" w:hAnsi="Times New Roman" w:cs="Times New Roman"/>
          <w:sz w:val="28"/>
          <w:szCs w:val="28"/>
          <w:shd w:val="clear" w:color="auto" w:fill="FFFFFF"/>
        </w:rPr>
      </w:pPr>
      <w:r w:rsidRPr="00510D73">
        <w:rPr>
          <w:rFonts w:ascii="Times New Roman" w:hAnsi="Times New Roman" w:cs="Times New Roman"/>
          <w:sz w:val="28"/>
          <w:szCs w:val="28"/>
          <w:shd w:val="clear" w:color="auto" w:fill="FFFFFF"/>
        </w:rPr>
        <w:t xml:space="preserve">Так, </w:t>
      </w:r>
      <w:r w:rsidRPr="00510D73">
        <w:rPr>
          <w:rFonts w:ascii="Times New Roman" w:hAnsi="Times New Roman" w:cs="Times New Roman"/>
          <w:color w:val="000000"/>
          <w:sz w:val="28"/>
          <w:szCs w:val="28"/>
        </w:rPr>
        <w:t>н</w:t>
      </w:r>
      <w:r w:rsidR="0008773D" w:rsidRPr="00510D73">
        <w:rPr>
          <w:rFonts w:ascii="Times New Roman" w:hAnsi="Times New Roman" w:cs="Times New Roman"/>
          <w:color w:val="000000"/>
          <w:sz w:val="28"/>
          <w:szCs w:val="28"/>
        </w:rPr>
        <w:t>е</w:t>
      </w:r>
      <w:r w:rsidRPr="00510D73">
        <w:rPr>
          <w:rFonts w:ascii="Times New Roman" w:hAnsi="Times New Roman" w:cs="Times New Roman"/>
          <w:color w:val="000000"/>
          <w:sz w:val="28"/>
          <w:szCs w:val="28"/>
        </w:rPr>
        <w:t xml:space="preserve"> </w:t>
      </w:r>
      <w:r w:rsidR="0008773D" w:rsidRPr="00510D73">
        <w:rPr>
          <w:rFonts w:ascii="Times New Roman" w:hAnsi="Times New Roman" w:cs="Times New Roman"/>
          <w:color w:val="000000"/>
          <w:sz w:val="28"/>
          <w:szCs w:val="28"/>
        </w:rPr>
        <w:t>зважаючи на карантинні обмеження, за минулий рік платіжна інфраструктура суттєво розширилася. Кількість суб’єктів господарювання, які приймають платіжні картки, за рік зросла більше ніж на третину (на 36,1%) – до 326,9 тисяч.</w:t>
      </w:r>
      <w:r w:rsidRPr="00510D73">
        <w:rPr>
          <w:rFonts w:ascii="Times New Roman" w:hAnsi="Times New Roman" w:cs="Times New Roman"/>
          <w:color w:val="000000"/>
          <w:sz w:val="28"/>
          <w:szCs w:val="28"/>
        </w:rPr>
        <w:t xml:space="preserve"> </w:t>
      </w:r>
      <w:r w:rsidR="0008773D" w:rsidRPr="00510D73">
        <w:rPr>
          <w:rFonts w:ascii="Times New Roman" w:hAnsi="Times New Roman" w:cs="Times New Roman"/>
          <w:color w:val="000000"/>
          <w:sz w:val="28"/>
          <w:szCs w:val="28"/>
        </w:rPr>
        <w:t>Мережа торговельних pos-терміналів в Україні за рік зросла на понад 12% – до 375 тис. Загалом, за останні п’ять років кількість торговельних платіжних терміналів збільшилася майже вдвічі – зі 199,8 до 375,0 тисяч.</w:t>
      </w:r>
      <w:r w:rsidRPr="00510D73">
        <w:rPr>
          <w:rFonts w:ascii="Times New Roman" w:hAnsi="Times New Roman" w:cs="Times New Roman"/>
          <w:color w:val="000000"/>
          <w:sz w:val="28"/>
          <w:szCs w:val="28"/>
        </w:rPr>
        <w:t xml:space="preserve"> </w:t>
      </w:r>
      <w:r w:rsidR="0008773D" w:rsidRPr="00510D73">
        <w:rPr>
          <w:rFonts w:ascii="Times New Roman" w:hAnsi="Times New Roman" w:cs="Times New Roman"/>
          <w:color w:val="000000"/>
          <w:sz w:val="28"/>
          <w:szCs w:val="28"/>
        </w:rPr>
        <w:t xml:space="preserve">Кількість платіжних терміналів (контактних та безконтактних) у розрахунку на </w:t>
      </w:r>
      <w:r w:rsidR="0008773D" w:rsidRPr="00510D73">
        <w:rPr>
          <w:rFonts w:ascii="Times New Roman" w:hAnsi="Times New Roman" w:cs="Times New Roman"/>
          <w:color w:val="000000"/>
          <w:sz w:val="28"/>
          <w:szCs w:val="28"/>
        </w:rPr>
        <w:lastRenderedPageBreak/>
        <w:t>1 млн постійного населення України станом на 01 січня 2021 року становила 9,4 тис. шт. (</w:t>
      </w:r>
      <w:r w:rsidRPr="00510D73">
        <w:rPr>
          <w:rFonts w:ascii="Times New Roman" w:hAnsi="Times New Roman" w:cs="Times New Roman"/>
          <w:color w:val="000000"/>
          <w:sz w:val="28"/>
          <w:szCs w:val="28"/>
        </w:rPr>
        <w:t>станом на 1 січня 2020</w:t>
      </w:r>
      <w:r w:rsidR="0008773D" w:rsidRPr="00510D73">
        <w:rPr>
          <w:rFonts w:ascii="Times New Roman" w:hAnsi="Times New Roman" w:cs="Times New Roman"/>
          <w:color w:val="000000"/>
          <w:sz w:val="28"/>
          <w:szCs w:val="28"/>
        </w:rPr>
        <w:t xml:space="preserve"> – 8,4 тис. шт. на 1 млн населення)</w:t>
      </w:r>
      <w:r>
        <w:rPr>
          <w:rStyle w:val="a7"/>
          <w:rFonts w:ascii="Times New Roman" w:hAnsi="Times New Roman"/>
          <w:color w:val="000000"/>
          <w:sz w:val="28"/>
          <w:szCs w:val="28"/>
        </w:rPr>
        <w:footnoteReference w:id="1"/>
      </w:r>
      <w:r w:rsidRPr="00510D73">
        <w:rPr>
          <w:rFonts w:ascii="Times New Roman" w:hAnsi="Times New Roman" w:cs="Times New Roman"/>
          <w:color w:val="000000"/>
          <w:sz w:val="28"/>
          <w:szCs w:val="28"/>
        </w:rPr>
        <w:t>.</w:t>
      </w:r>
    </w:p>
    <w:p w14:paraId="5CC82D4E" w14:textId="77777777" w:rsidR="0008773D" w:rsidRDefault="0008773D" w:rsidP="008610FD">
      <w:pPr>
        <w:pStyle w:val="aa"/>
        <w:spacing w:before="120"/>
        <w:ind w:firstLine="709"/>
        <w:jc w:val="both"/>
        <w:rPr>
          <w:rFonts w:ascii="Times New Roman" w:hAnsi="Times New Roman" w:cs="Times New Roman"/>
          <w:sz w:val="28"/>
          <w:szCs w:val="28"/>
          <w:shd w:val="clear" w:color="auto" w:fill="FFFFFF"/>
        </w:rPr>
      </w:pPr>
    </w:p>
    <w:p w14:paraId="4D3E896E" w14:textId="3CD9277D" w:rsidR="00306376" w:rsidRDefault="00F0066F" w:rsidP="008610FD">
      <w:pPr>
        <w:pStyle w:val="aa"/>
        <w:spacing w:before="120"/>
        <w:ind w:firstLine="709"/>
        <w:jc w:val="both"/>
        <w:rPr>
          <w:rStyle w:val="a9"/>
          <w:rFonts w:ascii="Times New Roman" w:hAnsi="Times New Roman"/>
          <w:i w:val="0"/>
          <w:color w:val="000000"/>
          <w:sz w:val="28"/>
          <w:szCs w:val="28"/>
          <w:bdr w:val="none" w:sz="0" w:space="0" w:color="auto" w:frame="1"/>
        </w:rPr>
      </w:pPr>
      <w:r>
        <w:rPr>
          <w:rStyle w:val="a9"/>
          <w:rFonts w:ascii="Times New Roman" w:hAnsi="Times New Roman"/>
          <w:i w:val="0"/>
          <w:color w:val="000000"/>
          <w:sz w:val="28"/>
          <w:szCs w:val="28"/>
          <w:bdr w:val="none" w:sz="0" w:space="0" w:color="auto" w:frame="1"/>
        </w:rPr>
        <w:t xml:space="preserve">За даними </w:t>
      </w:r>
      <w:r>
        <w:rPr>
          <w:rFonts w:ascii="Times New Roman" w:hAnsi="Times New Roman" w:cs="Times New Roman"/>
          <w:i/>
          <w:sz w:val="28"/>
          <w:szCs w:val="28"/>
        </w:rPr>
        <w:t>Національного банку України</w:t>
      </w:r>
      <w:r>
        <w:rPr>
          <w:rStyle w:val="a7"/>
          <w:rFonts w:ascii="Times New Roman" w:hAnsi="Times New Roman"/>
          <w:i/>
          <w:sz w:val="28"/>
          <w:szCs w:val="28"/>
        </w:rPr>
        <w:footnoteReference w:id="2"/>
      </w:r>
      <w:r>
        <w:rPr>
          <w:rStyle w:val="a9"/>
          <w:rFonts w:ascii="Times New Roman" w:hAnsi="Times New Roman"/>
          <w:i w:val="0"/>
          <w:color w:val="000000"/>
          <w:sz w:val="28"/>
          <w:szCs w:val="28"/>
          <w:bdr w:val="none" w:sz="0" w:space="0" w:color="auto" w:frame="1"/>
        </w:rPr>
        <w:t xml:space="preserve">, за І півріччя </w:t>
      </w:r>
      <w:r w:rsidR="001B2A6F">
        <w:rPr>
          <w:rStyle w:val="a9"/>
          <w:rFonts w:ascii="Times New Roman" w:hAnsi="Times New Roman"/>
          <w:i w:val="0"/>
          <w:color w:val="000000"/>
          <w:sz w:val="28"/>
          <w:szCs w:val="28"/>
          <w:bdr w:val="none" w:sz="0" w:space="0" w:color="auto" w:frame="1"/>
        </w:rPr>
        <w:t xml:space="preserve">2021 </w:t>
      </w:r>
      <w:r>
        <w:rPr>
          <w:rStyle w:val="a9"/>
          <w:rFonts w:ascii="Times New Roman" w:hAnsi="Times New Roman"/>
          <w:i w:val="0"/>
          <w:color w:val="000000"/>
          <w:sz w:val="28"/>
          <w:szCs w:val="28"/>
          <w:bdr w:val="none" w:sz="0" w:space="0" w:color="auto" w:frame="1"/>
        </w:rPr>
        <w:t>року загальна кількість операцій з використанням платіжних карток, емітованих українськими банками, становила 2360,6 млн. шт., а їх обсяг склав  – 982,8 млрд. грн.</w:t>
      </w:r>
    </w:p>
    <w:p w14:paraId="71CCC98A" w14:textId="1150E933" w:rsidR="00591136" w:rsidRDefault="00591136" w:rsidP="008610FD">
      <w:pPr>
        <w:pStyle w:val="aa"/>
        <w:spacing w:before="120"/>
        <w:ind w:firstLine="709"/>
        <w:jc w:val="both"/>
        <w:rPr>
          <w:rStyle w:val="a9"/>
          <w:rFonts w:ascii="Times New Roman" w:hAnsi="Times New Roman"/>
          <w:i w:val="0"/>
          <w:color w:val="000000"/>
          <w:sz w:val="28"/>
          <w:szCs w:val="28"/>
          <w:bdr w:val="none" w:sz="0" w:space="0" w:color="auto" w:frame="1"/>
        </w:rPr>
      </w:pPr>
      <w:r>
        <w:rPr>
          <w:rFonts w:ascii="Times New Roman" w:hAnsi="Times New Roman"/>
          <w:noProof/>
          <w:sz w:val="28"/>
          <w:szCs w:val="28"/>
        </w:rPr>
        <w:drawing>
          <wp:inline distT="0" distB="0" distL="0" distR="0" wp14:anchorId="280FD874" wp14:editId="25432496">
            <wp:extent cx="2162175" cy="904875"/>
            <wp:effectExtent l="0" t="0" r="9525" b="9525"/>
            <wp:docPr id="1027"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1" cstate="print"/>
                    <a:srcRect/>
                    <a:stretch/>
                  </pic:blipFill>
                  <pic:spPr>
                    <a:xfrm>
                      <a:off x="0" y="0"/>
                      <a:ext cx="2162175" cy="904875"/>
                    </a:xfrm>
                    <a:prstGeom prst="rect">
                      <a:avLst/>
                    </a:prstGeom>
                    <a:ln>
                      <a:noFill/>
                    </a:ln>
                  </pic:spPr>
                </pic:pic>
              </a:graphicData>
            </a:graphic>
          </wp:inline>
        </w:drawing>
      </w:r>
    </w:p>
    <w:p w14:paraId="732B14CE" w14:textId="360C07AE" w:rsidR="00306376" w:rsidRDefault="00591136" w:rsidP="008610FD">
      <w:pPr>
        <w:pStyle w:val="aa"/>
        <w:spacing w:before="120"/>
        <w:ind w:firstLine="709"/>
        <w:jc w:val="both"/>
        <w:rPr>
          <w:rStyle w:val="a9"/>
          <w:rFonts w:ascii="Times New Roman" w:hAnsi="Times New Roman"/>
          <w:i w:val="0"/>
          <w:color w:val="000000"/>
          <w:sz w:val="28"/>
          <w:szCs w:val="28"/>
          <w:bdr w:val="none" w:sz="0" w:space="0" w:color="auto" w:frame="1"/>
        </w:rPr>
      </w:pPr>
      <w:r>
        <w:rPr>
          <w:noProof/>
        </w:rPr>
        <w:drawing>
          <wp:inline distT="0" distB="0" distL="0" distR="0" wp14:anchorId="1813853E" wp14:editId="1E22F183">
            <wp:extent cx="4991100" cy="2886075"/>
            <wp:effectExtent l="0" t="0" r="0" b="9525"/>
            <wp:docPr id="1028" name="Рисунок 5" descr="https://news.dtkt.ua/files/NikoNews/53703Slide0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Рисунок 5"/>
                    <pic:cNvPicPr/>
                  </pic:nvPicPr>
                  <pic:blipFill>
                    <a:blip r:embed="rId12" cstate="print"/>
                    <a:srcRect/>
                    <a:stretch/>
                  </pic:blipFill>
                  <pic:spPr>
                    <a:xfrm>
                      <a:off x="0" y="0"/>
                      <a:ext cx="4991100" cy="2886075"/>
                    </a:xfrm>
                    <a:prstGeom prst="rect">
                      <a:avLst/>
                    </a:prstGeom>
                    <a:ln>
                      <a:noFill/>
                    </a:ln>
                  </pic:spPr>
                </pic:pic>
              </a:graphicData>
            </a:graphic>
          </wp:inline>
        </w:drawing>
      </w:r>
    </w:p>
    <w:p w14:paraId="4144D2AA" w14:textId="4679795D" w:rsidR="00591136" w:rsidRDefault="00591136" w:rsidP="008610FD">
      <w:pPr>
        <w:pStyle w:val="aa"/>
        <w:spacing w:before="120"/>
        <w:ind w:firstLine="709"/>
        <w:jc w:val="both"/>
        <w:rPr>
          <w:rStyle w:val="a9"/>
          <w:rFonts w:ascii="Times New Roman" w:hAnsi="Times New Roman"/>
          <w:i w:val="0"/>
          <w:color w:val="000000"/>
          <w:sz w:val="28"/>
          <w:szCs w:val="28"/>
          <w:bdr w:val="none" w:sz="0" w:space="0" w:color="auto" w:frame="1"/>
        </w:rPr>
      </w:pPr>
      <w:r>
        <w:rPr>
          <w:noProof/>
        </w:rPr>
        <w:lastRenderedPageBreak/>
        <w:drawing>
          <wp:inline distT="0" distB="0" distL="0" distR="0" wp14:anchorId="4C525DFA" wp14:editId="0E5D7EAB">
            <wp:extent cx="5019675" cy="2876550"/>
            <wp:effectExtent l="0" t="0" r="9525" b="0"/>
            <wp:docPr id="1029" name="Рисунок 4" descr="https://bank.gov.ua/admin_uploads/article/PS_rozpodil_cashless_operation_graf_2019.jpg?v=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Рисунок 4"/>
                    <pic:cNvPicPr/>
                  </pic:nvPicPr>
                  <pic:blipFill>
                    <a:blip r:embed="rId13" cstate="print"/>
                    <a:srcRect/>
                    <a:stretch/>
                  </pic:blipFill>
                  <pic:spPr>
                    <a:xfrm>
                      <a:off x="0" y="0"/>
                      <a:ext cx="5019675" cy="2876550"/>
                    </a:xfrm>
                    <a:prstGeom prst="rect">
                      <a:avLst/>
                    </a:prstGeom>
                    <a:ln>
                      <a:noFill/>
                    </a:ln>
                  </pic:spPr>
                </pic:pic>
              </a:graphicData>
            </a:graphic>
          </wp:inline>
        </w:drawing>
      </w:r>
    </w:p>
    <w:p w14:paraId="56CA067D" w14:textId="77777777" w:rsidR="00306376" w:rsidRDefault="00F0066F" w:rsidP="008610FD">
      <w:pPr>
        <w:pStyle w:val="aa"/>
        <w:spacing w:before="120"/>
        <w:ind w:firstLine="709"/>
        <w:jc w:val="both"/>
        <w:rPr>
          <w:rStyle w:val="a9"/>
          <w:rFonts w:ascii="Times New Roman" w:hAnsi="Times New Roman"/>
          <w:i w:val="0"/>
          <w:color w:val="000000"/>
          <w:sz w:val="28"/>
          <w:szCs w:val="28"/>
          <w:bdr w:val="none" w:sz="0" w:space="0" w:color="auto" w:frame="1"/>
        </w:rPr>
      </w:pPr>
      <w:r>
        <w:rPr>
          <w:noProof/>
        </w:rPr>
        <w:drawing>
          <wp:inline distT="0" distB="0" distL="0" distR="0" wp14:anchorId="4EA66073" wp14:editId="611EDDFB">
            <wp:extent cx="5000625" cy="2705100"/>
            <wp:effectExtent l="0" t="0" r="9525" b="0"/>
            <wp:docPr id="1026" name="Рисунок 3" descr="https://bank.gov.ua/admin_uploads/article/06-08-20_Cashless_operations_u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pic:cNvPicPr/>
                  </pic:nvPicPr>
                  <pic:blipFill>
                    <a:blip r:embed="rId14" cstate="print"/>
                    <a:srcRect/>
                    <a:stretch/>
                  </pic:blipFill>
                  <pic:spPr>
                    <a:xfrm>
                      <a:off x="0" y="0"/>
                      <a:ext cx="5000625" cy="2705100"/>
                    </a:xfrm>
                    <a:prstGeom prst="rect">
                      <a:avLst/>
                    </a:prstGeom>
                    <a:ln>
                      <a:noFill/>
                    </a:ln>
                  </pic:spPr>
                </pic:pic>
              </a:graphicData>
            </a:graphic>
          </wp:inline>
        </w:drawing>
      </w:r>
    </w:p>
    <w:p w14:paraId="1F67D9BB" w14:textId="77777777" w:rsidR="00306376" w:rsidRDefault="00306376" w:rsidP="008610FD">
      <w:pPr>
        <w:pStyle w:val="a4"/>
        <w:spacing w:before="120" w:beforeAutospacing="0" w:after="0" w:afterAutospacing="0"/>
        <w:ind w:firstLine="709"/>
        <w:jc w:val="both"/>
        <w:textAlignment w:val="baseline"/>
        <w:rPr>
          <w:rStyle w:val="a9"/>
          <w:i w:val="0"/>
          <w:color w:val="000000"/>
          <w:sz w:val="28"/>
          <w:szCs w:val="28"/>
          <w:bdr w:val="none" w:sz="0" w:space="0" w:color="auto" w:frame="1"/>
        </w:rPr>
      </w:pPr>
    </w:p>
    <w:p w14:paraId="6E18991F" w14:textId="77777777" w:rsidR="00306376" w:rsidRDefault="00F0066F" w:rsidP="008610FD">
      <w:pPr>
        <w:pStyle w:val="a4"/>
        <w:spacing w:before="120" w:beforeAutospacing="0" w:after="0" w:afterAutospacing="0"/>
        <w:ind w:firstLine="709"/>
        <w:jc w:val="both"/>
        <w:textAlignment w:val="baseline"/>
        <w:rPr>
          <w:rStyle w:val="a9"/>
          <w:i w:val="0"/>
          <w:color w:val="000000"/>
          <w:sz w:val="28"/>
          <w:szCs w:val="28"/>
          <w:bdr w:val="none" w:sz="0" w:space="0" w:color="auto" w:frame="1"/>
        </w:rPr>
      </w:pPr>
      <w:r>
        <w:rPr>
          <w:rStyle w:val="a9"/>
          <w:i w:val="0"/>
          <w:color w:val="000000"/>
          <w:sz w:val="28"/>
          <w:szCs w:val="28"/>
          <w:bdr w:val="none" w:sz="0" w:space="0" w:color="auto" w:frame="1"/>
        </w:rPr>
        <w:t>При цьому, обсяг безготівкових операцій з використанням платіжних карток («очищений» від обсягу переказав з картки на картку – 415,5 млрд. грн.), у І півріччі 2020 року,  склав 567,3  млрд. грн., а це майже сягає річних обсягів цього показника у 2016 році – 571,3 млрд. грн.</w:t>
      </w:r>
    </w:p>
    <w:p w14:paraId="5018B884" w14:textId="39E67080" w:rsidR="00306376" w:rsidRDefault="00F0066F" w:rsidP="008610FD">
      <w:pPr>
        <w:pStyle w:val="a4"/>
        <w:spacing w:before="120" w:beforeAutospacing="0" w:after="0" w:afterAutospacing="0"/>
        <w:ind w:firstLine="709"/>
        <w:jc w:val="both"/>
        <w:textAlignment w:val="baseline"/>
        <w:rPr>
          <w:rStyle w:val="a9"/>
          <w:i w:val="0"/>
          <w:sz w:val="28"/>
          <w:szCs w:val="28"/>
          <w:bdr w:val="none" w:sz="0" w:space="0" w:color="auto" w:frame="1"/>
        </w:rPr>
      </w:pPr>
      <w:r w:rsidRPr="00510D73">
        <w:rPr>
          <w:rStyle w:val="a9"/>
          <w:i w:val="0"/>
          <w:sz w:val="28"/>
          <w:szCs w:val="28"/>
          <w:bdr w:val="none" w:sz="0" w:space="0" w:color="auto" w:frame="1"/>
        </w:rPr>
        <w:t xml:space="preserve">Саме з 2016 року спостерігається стійке зростання як кількості безготівкових операцій з використанням платіжних карток, так і їх річних обсягів (за вирахуванням обсягів безготівкових переказів з картки на картку): у 2017 році – майже 615,0 млрд. грн. (+7,7%); у 2018 році – 832,0 млрд. грн. (+35,3%); у 2019 році – 1035,7 млрд. грн. (+24,4%); </w:t>
      </w:r>
      <w:r w:rsidR="00A107B1" w:rsidRPr="00510D73">
        <w:rPr>
          <w:rStyle w:val="a9"/>
          <w:i w:val="0"/>
          <w:sz w:val="28"/>
          <w:szCs w:val="28"/>
          <w:bdr w:val="none" w:sz="0" w:space="0" w:color="auto" w:frame="1"/>
        </w:rPr>
        <w:t xml:space="preserve">у 2020 році </w:t>
      </w:r>
      <w:r w:rsidR="009F13D8" w:rsidRPr="00510D73">
        <w:rPr>
          <w:rStyle w:val="a9"/>
          <w:i w:val="0"/>
          <w:sz w:val="28"/>
          <w:szCs w:val="28"/>
          <w:bdr w:val="none" w:sz="0" w:space="0" w:color="auto" w:frame="1"/>
        </w:rPr>
        <w:t>–</w:t>
      </w:r>
      <w:r w:rsidR="00A107B1" w:rsidRPr="00510D73">
        <w:rPr>
          <w:rStyle w:val="a9"/>
          <w:i w:val="0"/>
          <w:sz w:val="28"/>
          <w:szCs w:val="28"/>
          <w:bdr w:val="none" w:sz="0" w:space="0" w:color="auto" w:frame="1"/>
        </w:rPr>
        <w:t xml:space="preserve"> </w:t>
      </w:r>
      <w:r w:rsidR="009F13D8" w:rsidRPr="00510D73">
        <w:rPr>
          <w:rStyle w:val="a9"/>
          <w:i w:val="0"/>
          <w:sz w:val="28"/>
          <w:szCs w:val="28"/>
          <w:bdr w:val="none" w:sz="0" w:space="0" w:color="auto" w:frame="1"/>
        </w:rPr>
        <w:t>1 263,7</w:t>
      </w:r>
      <w:r w:rsidR="00A107B1" w:rsidRPr="00510D73">
        <w:rPr>
          <w:rStyle w:val="a9"/>
          <w:i w:val="0"/>
          <w:sz w:val="28"/>
          <w:szCs w:val="28"/>
          <w:bdr w:val="none" w:sz="0" w:space="0" w:color="auto" w:frame="1"/>
        </w:rPr>
        <w:t xml:space="preserve"> млрд грн</w:t>
      </w:r>
      <w:r w:rsidR="009F13D8" w:rsidRPr="00510D73">
        <w:rPr>
          <w:rStyle w:val="a9"/>
          <w:i w:val="0"/>
          <w:sz w:val="28"/>
          <w:szCs w:val="28"/>
          <w:bdr w:val="none" w:sz="0" w:space="0" w:color="auto" w:frame="1"/>
          <w:lang w:val="ru-RU"/>
        </w:rPr>
        <w:t xml:space="preserve"> (+22</w:t>
      </w:r>
      <w:r w:rsidR="00A107B1" w:rsidRPr="00510D73">
        <w:rPr>
          <w:rStyle w:val="a9"/>
          <w:i w:val="0"/>
          <w:sz w:val="28"/>
          <w:szCs w:val="28"/>
          <w:bdr w:val="none" w:sz="0" w:space="0" w:color="auto" w:frame="1"/>
          <w:lang w:val="ru-RU"/>
        </w:rPr>
        <w:t>%)</w:t>
      </w:r>
      <w:r w:rsidRPr="00510D73">
        <w:rPr>
          <w:rStyle w:val="a9"/>
          <w:i w:val="0"/>
          <w:sz w:val="28"/>
          <w:szCs w:val="28"/>
          <w:bdr w:val="none" w:sz="0" w:space="0" w:color="auto" w:frame="1"/>
        </w:rPr>
        <w:t>.</w:t>
      </w:r>
    </w:p>
    <w:p w14:paraId="318E1DEE" w14:textId="5876C1EE" w:rsidR="00306376" w:rsidRDefault="00F0066F" w:rsidP="008610FD">
      <w:pPr>
        <w:pStyle w:val="a4"/>
        <w:spacing w:before="120" w:beforeAutospacing="0" w:after="0" w:afterAutospacing="0"/>
        <w:ind w:firstLine="709"/>
        <w:jc w:val="both"/>
        <w:textAlignment w:val="baseline"/>
        <w:rPr>
          <w:rStyle w:val="a9"/>
          <w:i w:val="0"/>
          <w:color w:val="000000"/>
          <w:sz w:val="28"/>
          <w:szCs w:val="28"/>
          <w:bdr w:val="none" w:sz="0" w:space="0" w:color="auto" w:frame="1"/>
        </w:rPr>
      </w:pPr>
      <w:r>
        <w:rPr>
          <w:rStyle w:val="a9"/>
          <w:i w:val="0"/>
          <w:color w:val="000000"/>
          <w:sz w:val="28"/>
          <w:szCs w:val="28"/>
          <w:bdr w:val="none" w:sz="0" w:space="0" w:color="auto" w:frame="1"/>
        </w:rPr>
        <w:t xml:space="preserve">З досліджень Національного банку України відомо, що вартість обслуговування готівкового обігу (інкасація) для корпоративного бізнесу становить 0,02%. </w:t>
      </w:r>
      <w:r w:rsidR="00663900">
        <w:rPr>
          <w:rStyle w:val="a9"/>
          <w:i w:val="0"/>
          <w:color w:val="000000"/>
          <w:sz w:val="28"/>
          <w:szCs w:val="28"/>
          <w:bdr w:val="none" w:sz="0" w:space="0" w:color="auto" w:frame="1"/>
        </w:rPr>
        <w:t xml:space="preserve">У той же час </w:t>
      </w:r>
      <w:r>
        <w:rPr>
          <w:rStyle w:val="a9"/>
          <w:i w:val="0"/>
          <w:color w:val="000000"/>
          <w:sz w:val="28"/>
          <w:szCs w:val="28"/>
          <w:bdr w:val="none" w:sz="0" w:space="0" w:color="auto" w:frame="1"/>
        </w:rPr>
        <w:t xml:space="preserve">комісія за здійснення безготівкових операцій з використанням платіжних карток – від 1,8% (різниця в 90 разів). Для малого та середнього бізнесу розміри комісії за картками ще вищі – починаються від 2% (і можуть сягати до 3%). </w:t>
      </w:r>
    </w:p>
    <w:p w14:paraId="341F09B4" w14:textId="77777777" w:rsidR="00306376" w:rsidRDefault="00F0066F" w:rsidP="008610FD">
      <w:pPr>
        <w:pStyle w:val="aa"/>
        <w:spacing w:before="120"/>
        <w:ind w:firstLine="709"/>
        <w:jc w:val="both"/>
        <w:rPr>
          <w:rFonts w:ascii="Times New Roman" w:hAnsi="Times New Roman" w:cs="Times New Roman"/>
          <w:sz w:val="28"/>
          <w:szCs w:val="28"/>
        </w:rPr>
      </w:pPr>
      <w:r>
        <w:rPr>
          <w:rStyle w:val="a9"/>
          <w:rFonts w:ascii="Times New Roman" w:hAnsi="Times New Roman"/>
          <w:i w:val="0"/>
          <w:color w:val="000000"/>
          <w:sz w:val="28"/>
          <w:szCs w:val="28"/>
          <w:bdr w:val="none" w:sz="0" w:space="0" w:color="auto" w:frame="1"/>
        </w:rPr>
        <w:lastRenderedPageBreak/>
        <w:t>Подібна тарифна політика операторів платіжних систем у сегменті безготівкових розрахунків провадиться всупереч стратегії Національного банку України Cashless economy</w:t>
      </w:r>
      <w:r>
        <w:rPr>
          <w:rStyle w:val="a7"/>
          <w:rFonts w:ascii="Times New Roman" w:hAnsi="Times New Roman"/>
          <w:i/>
          <w:sz w:val="28"/>
          <w:szCs w:val="28"/>
        </w:rPr>
        <w:footnoteReference w:id="3"/>
      </w:r>
      <w:r>
        <w:rPr>
          <w:rStyle w:val="a9"/>
          <w:rFonts w:ascii="Times New Roman" w:hAnsi="Times New Roman"/>
          <w:i w:val="0"/>
          <w:color w:val="000000"/>
          <w:sz w:val="28"/>
          <w:szCs w:val="28"/>
          <w:bdr w:val="none" w:sz="0" w:space="0" w:color="auto" w:frame="1"/>
        </w:rPr>
        <w:t xml:space="preserve"> і не мотивує торговців (компанії) приймати платіжні картки через високі комісії</w:t>
      </w:r>
      <w:r>
        <w:rPr>
          <w:rFonts w:ascii="Times New Roman" w:hAnsi="Times New Roman" w:cs="Times New Roman"/>
          <w:i/>
          <w:sz w:val="28"/>
          <w:szCs w:val="28"/>
        </w:rPr>
        <w:t xml:space="preserve">. </w:t>
      </w:r>
      <w:r>
        <w:rPr>
          <w:rFonts w:ascii="Times New Roman" w:hAnsi="Times New Roman" w:cs="Times New Roman"/>
          <w:sz w:val="28"/>
          <w:szCs w:val="28"/>
        </w:rPr>
        <w:t>Для деяких видів господарської діяльності завищений розмір комісії практично нівелює прибуток від діяльності, що в свою чергу призводить до розвитку тіньової економіки.</w:t>
      </w:r>
    </w:p>
    <w:p w14:paraId="25C41ADB" w14:textId="5EFAA2B9" w:rsidR="00306376" w:rsidRDefault="00F0066F" w:rsidP="008610FD">
      <w:pPr>
        <w:pStyle w:val="aa"/>
        <w:spacing w:before="120"/>
        <w:ind w:firstLine="709"/>
        <w:jc w:val="both"/>
        <w:rPr>
          <w:rStyle w:val="a9"/>
          <w:rFonts w:ascii="Times New Roman" w:hAnsi="Times New Roman"/>
          <w:i w:val="0"/>
          <w:color w:val="000000"/>
          <w:sz w:val="28"/>
          <w:szCs w:val="28"/>
          <w:bdr w:val="none" w:sz="0" w:space="0" w:color="auto" w:frame="1"/>
        </w:rPr>
      </w:pPr>
      <w:r>
        <w:rPr>
          <w:rStyle w:val="a9"/>
          <w:rFonts w:ascii="Times New Roman" w:hAnsi="Times New Roman"/>
          <w:b/>
          <w:i w:val="0"/>
          <w:color w:val="000000"/>
          <w:sz w:val="28"/>
          <w:szCs w:val="28"/>
          <w:bdr w:val="none" w:sz="0" w:space="0" w:color="auto" w:frame="1"/>
        </w:rPr>
        <w:t>Проте, приймання платіжних карток є обов'язковим</w:t>
      </w:r>
      <w:r>
        <w:rPr>
          <w:rStyle w:val="a9"/>
          <w:rFonts w:ascii="Times New Roman" w:hAnsi="Times New Roman"/>
          <w:i w:val="0"/>
          <w:color w:val="000000"/>
          <w:sz w:val="28"/>
          <w:szCs w:val="28"/>
          <w:bdr w:val="none" w:sz="0" w:space="0" w:color="auto" w:frame="1"/>
        </w:rPr>
        <w:t xml:space="preserve"> для торговців  відповідно до законодавства України. </w:t>
      </w:r>
      <w:r>
        <w:rPr>
          <w:rStyle w:val="a9"/>
          <w:rFonts w:ascii="Times New Roman" w:hAnsi="Times New Roman"/>
          <w:b/>
          <w:i w:val="0"/>
          <w:color w:val="000000"/>
          <w:sz w:val="28"/>
          <w:szCs w:val="28"/>
          <w:bdr w:val="none" w:sz="0" w:space="0" w:color="auto" w:frame="1"/>
        </w:rPr>
        <w:t>Під тиском цієї обставини</w:t>
      </w:r>
      <w:r>
        <w:rPr>
          <w:rStyle w:val="a9"/>
          <w:rFonts w:ascii="Times New Roman" w:hAnsi="Times New Roman"/>
          <w:i w:val="0"/>
          <w:color w:val="000000"/>
          <w:sz w:val="28"/>
          <w:szCs w:val="28"/>
          <w:bdr w:val="none" w:sz="0" w:space="0" w:color="auto" w:frame="1"/>
        </w:rPr>
        <w:t xml:space="preserve">, вони змушені нарощувати обсяги безготівкових розрахунків з використанням платіжних карток і, одночасно, сплачувати завищені розміри комісії за </w:t>
      </w:r>
      <w:r w:rsidR="00663900">
        <w:rPr>
          <w:rStyle w:val="a9"/>
          <w:rFonts w:ascii="Times New Roman" w:hAnsi="Times New Roman"/>
          <w:i w:val="0"/>
          <w:color w:val="000000"/>
          <w:sz w:val="28"/>
          <w:szCs w:val="28"/>
          <w:bdr w:val="none" w:sz="0" w:space="0" w:color="auto" w:frame="1"/>
        </w:rPr>
        <w:t xml:space="preserve">торгівельний </w:t>
      </w:r>
      <w:r>
        <w:rPr>
          <w:rStyle w:val="a9"/>
          <w:rFonts w:ascii="Times New Roman" w:hAnsi="Times New Roman"/>
          <w:i w:val="0"/>
          <w:color w:val="000000"/>
          <w:sz w:val="28"/>
          <w:szCs w:val="28"/>
          <w:bdr w:val="none" w:sz="0" w:space="0" w:color="auto" w:frame="1"/>
        </w:rPr>
        <w:t xml:space="preserve">еквайринг, що створює відчутний додатковий фінансовий тиск на офіційний бізнес в Україні. </w:t>
      </w:r>
    </w:p>
    <w:p w14:paraId="6F46FC94" w14:textId="50417630"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При середній вартості торгівельного еквайр</w:t>
      </w:r>
      <w:r w:rsidR="001B2A6F">
        <w:rPr>
          <w:rFonts w:ascii="Times New Roman" w:hAnsi="Times New Roman" w:cs="Times New Roman"/>
          <w:sz w:val="28"/>
          <w:szCs w:val="28"/>
        </w:rPr>
        <w:t>и</w:t>
      </w:r>
      <w:r>
        <w:rPr>
          <w:rFonts w:ascii="Times New Roman" w:hAnsi="Times New Roman" w:cs="Times New Roman"/>
          <w:sz w:val="28"/>
          <w:szCs w:val="28"/>
        </w:rPr>
        <w:t>нгу в Україні на рівні 2%, витрати торговців (ритейлерів) на оплату комісії за проведення безготівкових операцій з використанням платіжних карток можна оцінити наступним чином:</w:t>
      </w:r>
    </w:p>
    <w:p w14:paraId="11549C60" w14:textId="791DC470"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 за 2016 рік – понад 11</w:t>
      </w:r>
      <w:r w:rsidR="00F0745E">
        <w:rPr>
          <w:rFonts w:ascii="Times New Roman" w:hAnsi="Times New Roman" w:cs="Times New Roman"/>
          <w:sz w:val="28"/>
          <w:szCs w:val="28"/>
        </w:rPr>
        <w:t>,</w:t>
      </w:r>
      <w:r>
        <w:rPr>
          <w:rFonts w:ascii="Times New Roman" w:hAnsi="Times New Roman" w:cs="Times New Roman"/>
          <w:sz w:val="28"/>
          <w:szCs w:val="28"/>
        </w:rPr>
        <w:t>4 млрд. грн.;</w:t>
      </w:r>
    </w:p>
    <w:p w14:paraId="75FFC3D9" w14:textId="77777777"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 за 2017 рік – 12,3 млрд. грн.;</w:t>
      </w:r>
    </w:p>
    <w:p w14:paraId="700945C7" w14:textId="77777777"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 за 2018 рік – понад 16,6 млрд. грн.;</w:t>
      </w:r>
    </w:p>
    <w:p w14:paraId="2EC6DD81" w14:textId="77777777"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 за 2019 рік – понад 20,7 млрд. грн.;</w:t>
      </w:r>
    </w:p>
    <w:p w14:paraId="1E2C5B3B" w14:textId="4C377DF5" w:rsidR="00306376" w:rsidRDefault="00F0066F" w:rsidP="008610FD">
      <w:pPr>
        <w:pStyle w:val="aa"/>
        <w:spacing w:before="120"/>
        <w:ind w:firstLine="709"/>
        <w:jc w:val="both"/>
        <w:rPr>
          <w:rFonts w:ascii="Times New Roman" w:hAnsi="Times New Roman" w:cs="Times New Roman"/>
          <w:sz w:val="28"/>
          <w:szCs w:val="28"/>
        </w:rPr>
      </w:pPr>
      <w:r w:rsidRPr="00510D73">
        <w:rPr>
          <w:rFonts w:ascii="Times New Roman" w:hAnsi="Times New Roman" w:cs="Times New Roman"/>
          <w:sz w:val="28"/>
          <w:szCs w:val="28"/>
        </w:rPr>
        <w:t xml:space="preserve">- за </w:t>
      </w:r>
      <w:r w:rsidR="006A0AF7" w:rsidRPr="00510D73">
        <w:rPr>
          <w:rFonts w:ascii="Times New Roman" w:hAnsi="Times New Roman" w:cs="Times New Roman"/>
          <w:sz w:val="28"/>
          <w:szCs w:val="28"/>
        </w:rPr>
        <w:t>2020 рік</w:t>
      </w:r>
      <w:r w:rsidRPr="00510D73">
        <w:rPr>
          <w:rFonts w:ascii="Times New Roman" w:hAnsi="Times New Roman" w:cs="Times New Roman"/>
          <w:sz w:val="28"/>
          <w:szCs w:val="28"/>
        </w:rPr>
        <w:t xml:space="preserve"> – </w:t>
      </w:r>
      <w:r w:rsidR="006A0AF7" w:rsidRPr="00510D73">
        <w:rPr>
          <w:rFonts w:ascii="Times New Roman" w:hAnsi="Times New Roman" w:cs="Times New Roman"/>
          <w:sz w:val="28"/>
          <w:szCs w:val="28"/>
        </w:rPr>
        <w:t xml:space="preserve">близько </w:t>
      </w:r>
      <w:r w:rsidR="009F13D8" w:rsidRPr="00510D73">
        <w:rPr>
          <w:rFonts w:ascii="Times New Roman" w:hAnsi="Times New Roman" w:cs="Times New Roman"/>
          <w:sz w:val="28"/>
          <w:szCs w:val="28"/>
        </w:rPr>
        <w:t>25,3</w:t>
      </w:r>
      <w:r w:rsidR="006A0AF7" w:rsidRPr="00510D73">
        <w:rPr>
          <w:rFonts w:ascii="Times New Roman" w:hAnsi="Times New Roman" w:cs="Times New Roman"/>
          <w:sz w:val="28"/>
          <w:szCs w:val="28"/>
        </w:rPr>
        <w:t xml:space="preserve"> млрд. грн.</w:t>
      </w:r>
    </w:p>
    <w:p w14:paraId="26B4B735" w14:textId="07E7F5A7" w:rsidR="00306376" w:rsidRDefault="00663900" w:rsidP="008610FD">
      <w:pPr>
        <w:pStyle w:val="aa"/>
        <w:spacing w:before="120"/>
        <w:ind w:firstLine="709"/>
        <w:jc w:val="both"/>
        <w:rPr>
          <w:rStyle w:val="a9"/>
          <w:rFonts w:ascii="Times New Roman" w:hAnsi="Times New Roman"/>
          <w:i w:val="0"/>
          <w:color w:val="000000"/>
          <w:sz w:val="28"/>
          <w:szCs w:val="28"/>
          <w:bdr w:val="none" w:sz="0" w:space="0" w:color="auto" w:frame="1"/>
        </w:rPr>
      </w:pPr>
      <w:r>
        <w:rPr>
          <w:rFonts w:ascii="Times New Roman" w:hAnsi="Times New Roman" w:cs="Times New Roman"/>
          <w:sz w:val="28"/>
          <w:szCs w:val="28"/>
        </w:rPr>
        <w:t>Отже</w:t>
      </w:r>
      <w:r w:rsidR="00F0066F">
        <w:rPr>
          <w:rFonts w:ascii="Times New Roman" w:hAnsi="Times New Roman" w:cs="Times New Roman"/>
          <w:sz w:val="28"/>
          <w:szCs w:val="28"/>
        </w:rPr>
        <w:t xml:space="preserve">, </w:t>
      </w:r>
      <w:r w:rsidR="00F0066F">
        <w:rPr>
          <w:rFonts w:ascii="Times New Roman" w:hAnsi="Times New Roman" w:cs="Times New Roman"/>
          <w:b/>
          <w:sz w:val="28"/>
          <w:szCs w:val="28"/>
        </w:rPr>
        <w:t>протягом 5-річного періоду</w:t>
      </w:r>
      <w:r w:rsidR="00F0066F">
        <w:rPr>
          <w:rFonts w:ascii="Times New Roman" w:hAnsi="Times New Roman" w:cs="Times New Roman"/>
          <w:sz w:val="28"/>
          <w:szCs w:val="28"/>
        </w:rPr>
        <w:t xml:space="preserve">, фіксується </w:t>
      </w:r>
      <w:r w:rsidR="00F0066F">
        <w:rPr>
          <w:rFonts w:ascii="Times New Roman" w:hAnsi="Times New Roman" w:cs="Times New Roman"/>
          <w:b/>
          <w:sz w:val="28"/>
          <w:szCs w:val="28"/>
        </w:rPr>
        <w:t>зростання обсягів</w:t>
      </w:r>
      <w:r w:rsidR="00F0066F">
        <w:rPr>
          <w:rFonts w:ascii="Times New Roman" w:hAnsi="Times New Roman" w:cs="Times New Roman"/>
          <w:sz w:val="28"/>
          <w:szCs w:val="28"/>
        </w:rPr>
        <w:t xml:space="preserve"> таких витрат </w:t>
      </w:r>
      <w:r w:rsidR="00F0066F">
        <w:rPr>
          <w:rFonts w:ascii="Times New Roman" w:hAnsi="Times New Roman" w:cs="Times New Roman"/>
          <w:b/>
          <w:sz w:val="28"/>
          <w:szCs w:val="28"/>
        </w:rPr>
        <w:t>вдвічі</w:t>
      </w:r>
      <w:r w:rsidR="00F0066F">
        <w:rPr>
          <w:rFonts w:ascii="Times New Roman" w:hAnsi="Times New Roman" w:cs="Times New Roman"/>
          <w:sz w:val="28"/>
          <w:szCs w:val="28"/>
        </w:rPr>
        <w:t>.</w:t>
      </w:r>
      <w:r w:rsidR="00F0066F">
        <w:rPr>
          <w:rFonts w:ascii="Times New Roman" w:hAnsi="Times New Roman" w:cs="Times New Roman"/>
          <w:color w:val="FF0000"/>
          <w:sz w:val="28"/>
          <w:szCs w:val="28"/>
        </w:rPr>
        <w:t xml:space="preserve"> </w:t>
      </w:r>
      <w:r w:rsidR="00F0066F">
        <w:rPr>
          <w:rStyle w:val="a9"/>
          <w:rFonts w:ascii="Times New Roman" w:hAnsi="Times New Roman"/>
          <w:i w:val="0"/>
          <w:color w:val="000000"/>
          <w:sz w:val="28"/>
          <w:szCs w:val="28"/>
          <w:bdr w:val="none" w:sz="0" w:space="0" w:color="auto" w:frame="1"/>
        </w:rPr>
        <w:t>Слід також розуміти, що їх вартість включається в загальну вартість товарів (робіт, послуг), і за це змушені платити пересічні українці.</w:t>
      </w:r>
    </w:p>
    <w:p w14:paraId="7DE53EBF" w14:textId="77777777" w:rsidR="00306376" w:rsidRDefault="00306376" w:rsidP="008610FD">
      <w:pPr>
        <w:pStyle w:val="aa"/>
        <w:spacing w:before="120"/>
        <w:ind w:firstLine="709"/>
        <w:jc w:val="both"/>
        <w:rPr>
          <w:i/>
        </w:rPr>
      </w:pPr>
    </w:p>
    <w:p w14:paraId="5EA52510" w14:textId="77777777" w:rsidR="00306376" w:rsidRDefault="00F0066F" w:rsidP="008610FD">
      <w:pPr>
        <w:spacing w:before="120" w:after="0" w:line="240" w:lineRule="auto"/>
        <w:ind w:firstLine="709"/>
        <w:jc w:val="both"/>
        <w:rPr>
          <w:rFonts w:ascii="Times New Roman" w:hAnsi="Times New Roman"/>
          <w:sz w:val="28"/>
          <w:szCs w:val="28"/>
        </w:rPr>
      </w:pPr>
      <w:r>
        <w:rPr>
          <w:rFonts w:ascii="Times New Roman" w:hAnsi="Times New Roman"/>
          <w:noProof/>
          <w:sz w:val="28"/>
          <w:szCs w:val="28"/>
        </w:rPr>
        <w:drawing>
          <wp:inline distT="0" distB="0" distL="0" distR="0" wp14:anchorId="46EA01AC" wp14:editId="1A4EED24">
            <wp:extent cx="4975860" cy="2156460"/>
            <wp:effectExtent l="0" t="0" r="0" b="0"/>
            <wp:docPr id="1030"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Рисунок 2"/>
                    <pic:cNvPicPr/>
                  </pic:nvPicPr>
                  <pic:blipFill>
                    <a:blip r:embed="rId15" cstate="print"/>
                    <a:srcRect/>
                    <a:stretch/>
                  </pic:blipFill>
                  <pic:spPr>
                    <a:xfrm>
                      <a:off x="0" y="0"/>
                      <a:ext cx="4975860" cy="2156460"/>
                    </a:xfrm>
                    <a:prstGeom prst="rect">
                      <a:avLst/>
                    </a:prstGeom>
                    <a:ln>
                      <a:noFill/>
                    </a:ln>
                  </pic:spPr>
                </pic:pic>
              </a:graphicData>
            </a:graphic>
          </wp:inline>
        </w:drawing>
      </w:r>
    </w:p>
    <w:p w14:paraId="008BC470" w14:textId="2C67E3BC" w:rsidR="00306376" w:rsidRDefault="00F0066F" w:rsidP="008610FD">
      <w:pPr>
        <w:spacing w:before="120" w:after="0" w:line="240" w:lineRule="auto"/>
        <w:ind w:firstLine="540"/>
        <w:jc w:val="both"/>
        <w:rPr>
          <w:rFonts w:ascii="Times New Roman" w:hAnsi="Times New Roman"/>
          <w:sz w:val="28"/>
          <w:szCs w:val="28"/>
        </w:rPr>
      </w:pPr>
      <w:r>
        <w:rPr>
          <w:rFonts w:ascii="Times New Roman" w:hAnsi="Times New Roman"/>
          <w:sz w:val="28"/>
          <w:szCs w:val="28"/>
        </w:rPr>
        <w:t xml:space="preserve">В Україні левову частку комісійної винагороди за послуги еквайрингової установи (вартості торгівельного еквайрингу) становить комісійна винагорода інтерчейндж (60%-75%) – міжбанківська плата за обмін, яка сплачується еквайром емітенту електронних платіжних засобів за кожну пряму або </w:t>
      </w:r>
      <w:r>
        <w:rPr>
          <w:rFonts w:ascii="Times New Roman" w:hAnsi="Times New Roman"/>
          <w:sz w:val="28"/>
          <w:szCs w:val="28"/>
        </w:rPr>
        <w:lastRenderedPageBreak/>
        <w:t>опосередковану (через третю особу) безготівкову операцію, здійснену за допомогою платіжної картки, і варіюється у межах 1,4–1,8% від суми операції.</w:t>
      </w:r>
    </w:p>
    <w:p w14:paraId="72EFA7D9" w14:textId="2EA3806F" w:rsidR="007F3575" w:rsidRDefault="00F0066F" w:rsidP="008610FD">
      <w:pPr>
        <w:spacing w:before="120" w:after="0" w:line="240" w:lineRule="auto"/>
        <w:ind w:firstLine="540"/>
        <w:jc w:val="both"/>
        <w:rPr>
          <w:rFonts w:ascii="Times New Roman" w:hAnsi="Times New Roman"/>
          <w:sz w:val="28"/>
          <w:szCs w:val="28"/>
        </w:rPr>
      </w:pPr>
      <w:r w:rsidRPr="00510D73">
        <w:rPr>
          <w:rFonts w:ascii="Times New Roman" w:hAnsi="Times New Roman"/>
          <w:sz w:val="28"/>
          <w:szCs w:val="28"/>
        </w:rPr>
        <w:t xml:space="preserve">У країнах Європейського </w:t>
      </w:r>
      <w:r w:rsidR="001B2A6F" w:rsidRPr="00510D73">
        <w:rPr>
          <w:rFonts w:ascii="Times New Roman" w:hAnsi="Times New Roman"/>
          <w:sz w:val="28"/>
          <w:szCs w:val="28"/>
        </w:rPr>
        <w:t>С</w:t>
      </w:r>
      <w:r w:rsidRPr="00510D73">
        <w:rPr>
          <w:rFonts w:ascii="Times New Roman" w:hAnsi="Times New Roman"/>
          <w:sz w:val="28"/>
          <w:szCs w:val="28"/>
        </w:rPr>
        <w:t>оюзу зазначений розмір комісії інтерчейндж обмежений на законодавчому рівні і становить не більше ніж</w:t>
      </w:r>
      <w:r w:rsidR="00663900" w:rsidRPr="00510D73">
        <w:rPr>
          <w:rFonts w:ascii="Times New Roman" w:hAnsi="Times New Roman"/>
          <w:sz w:val="28"/>
          <w:szCs w:val="28"/>
        </w:rPr>
        <w:t xml:space="preserve"> 0,2%</w:t>
      </w:r>
      <w:r w:rsidRPr="00510D73">
        <w:rPr>
          <w:rFonts w:ascii="Times New Roman" w:hAnsi="Times New Roman"/>
          <w:sz w:val="28"/>
          <w:szCs w:val="28"/>
        </w:rPr>
        <w:t xml:space="preserve"> </w:t>
      </w:r>
      <w:r w:rsidR="00663900" w:rsidRPr="00510D73">
        <w:rPr>
          <w:rFonts w:ascii="Times New Roman" w:hAnsi="Times New Roman"/>
          <w:sz w:val="28"/>
          <w:szCs w:val="28"/>
        </w:rPr>
        <w:t xml:space="preserve">від кожної транзакції, здійсненої з використанням дебетової платіжної картки, та </w:t>
      </w:r>
      <w:r w:rsidRPr="00510D73">
        <w:rPr>
          <w:rFonts w:ascii="Times New Roman" w:hAnsi="Times New Roman"/>
          <w:sz w:val="28"/>
          <w:szCs w:val="28"/>
        </w:rPr>
        <w:t>0,3 %</w:t>
      </w:r>
      <w:r w:rsidR="00663900" w:rsidRPr="00510D73">
        <w:rPr>
          <w:rFonts w:ascii="Times New Roman" w:hAnsi="Times New Roman"/>
          <w:sz w:val="28"/>
          <w:szCs w:val="28"/>
        </w:rPr>
        <w:t xml:space="preserve"> - з використанням кредитної платіжної картки</w:t>
      </w:r>
      <w:r w:rsidRPr="00510D73">
        <w:rPr>
          <w:rFonts w:ascii="Times New Roman" w:hAnsi="Times New Roman"/>
          <w:sz w:val="28"/>
          <w:szCs w:val="28"/>
        </w:rPr>
        <w:t xml:space="preserve"> (відповідні обмеження встановлені </w:t>
      </w:r>
      <w:r w:rsidRPr="00510D73">
        <w:rPr>
          <w:rFonts w:ascii="Times New Roman" w:hAnsi="Times New Roman"/>
          <w:b/>
          <w:sz w:val="28"/>
          <w:szCs w:val="28"/>
        </w:rPr>
        <w:t>Регламентом 2015/751 Європейського Парламенту та Ради від 29 квітня 2015 року</w:t>
      </w:r>
      <w:r w:rsidRPr="00510D73">
        <w:rPr>
          <w:rStyle w:val="a7"/>
          <w:rFonts w:ascii="Times New Roman" w:hAnsi="Times New Roman"/>
          <w:b/>
          <w:sz w:val="28"/>
          <w:szCs w:val="28"/>
        </w:rPr>
        <w:footnoteReference w:id="4"/>
      </w:r>
      <w:r w:rsidRPr="00510D73">
        <w:rPr>
          <w:rFonts w:ascii="Times New Roman" w:hAnsi="Times New Roman"/>
          <w:sz w:val="28"/>
          <w:szCs w:val="28"/>
        </w:rPr>
        <w:t xml:space="preserve"> про міжбанківські комісійні збори за платіжні операції)</w:t>
      </w:r>
      <w:r w:rsidR="00CD6AF8" w:rsidRPr="00510D73">
        <w:rPr>
          <w:rFonts w:ascii="Times New Roman" w:hAnsi="Times New Roman"/>
          <w:sz w:val="28"/>
          <w:szCs w:val="28"/>
        </w:rPr>
        <w:t xml:space="preserve">. </w:t>
      </w:r>
      <w:r w:rsidR="00944661" w:rsidRPr="00510D73">
        <w:rPr>
          <w:rFonts w:ascii="Times New Roman" w:hAnsi="Times New Roman"/>
          <w:sz w:val="28"/>
          <w:szCs w:val="28"/>
        </w:rPr>
        <w:t>Слід відзначити, що п</w:t>
      </w:r>
      <w:r w:rsidR="00CD6AF8" w:rsidRPr="00510D73">
        <w:rPr>
          <w:rFonts w:ascii="Times New Roman" w:hAnsi="Times New Roman"/>
          <w:sz w:val="28"/>
          <w:szCs w:val="28"/>
        </w:rPr>
        <w:t xml:space="preserve">рийняттю зазначеного Регламенту передувала низка антимонопольних розслідувань – як на національному рівні, так і на рівні Єврокомісії, а також детальне вивчення проблематики. Готуючи пропозицію </w:t>
      </w:r>
      <w:r w:rsidR="00663900" w:rsidRPr="00510D73">
        <w:rPr>
          <w:rFonts w:ascii="Times New Roman" w:hAnsi="Times New Roman"/>
          <w:sz w:val="28"/>
          <w:szCs w:val="28"/>
        </w:rPr>
        <w:t xml:space="preserve">щодо прийняття </w:t>
      </w:r>
      <w:r w:rsidR="00CD6AF8" w:rsidRPr="00510D73">
        <w:rPr>
          <w:rFonts w:ascii="Times New Roman" w:hAnsi="Times New Roman"/>
          <w:sz w:val="28"/>
          <w:szCs w:val="28"/>
        </w:rPr>
        <w:t xml:space="preserve">Регламенту, Єврокомісія звернула увагу на те, що </w:t>
      </w:r>
      <w:r w:rsidR="007F3575" w:rsidRPr="00510D73">
        <w:rPr>
          <w:rFonts w:ascii="Times New Roman" w:hAnsi="Times New Roman"/>
          <w:sz w:val="28"/>
          <w:szCs w:val="28"/>
        </w:rPr>
        <w:t xml:space="preserve">конкуренція між платіжними системами загалом зводиться до того, щоб переконати якомога більшу кількість емітентів карток випускати саме їхні платіжні засоби – а це призводить до того, що комісія за інтерчейндж зростає, а не знижується, як зазвичай відбувається за умов конкуренції у ринковій економіці. </w:t>
      </w:r>
    </w:p>
    <w:p w14:paraId="33AC1C2E" w14:textId="5182E097" w:rsidR="002B53F0" w:rsidRDefault="00CD6AF8" w:rsidP="008610FD">
      <w:pPr>
        <w:spacing w:before="120" w:after="0" w:line="240" w:lineRule="auto"/>
        <w:ind w:firstLine="540"/>
        <w:jc w:val="both"/>
        <w:rPr>
          <w:rFonts w:ascii="Times New Roman" w:hAnsi="Times New Roman"/>
          <w:sz w:val="28"/>
          <w:szCs w:val="28"/>
        </w:rPr>
      </w:pPr>
      <w:r>
        <w:rPr>
          <w:rFonts w:ascii="Times New Roman" w:hAnsi="Times New Roman"/>
          <w:sz w:val="28"/>
          <w:szCs w:val="28"/>
        </w:rPr>
        <w:t xml:space="preserve">Додатково варто зазначити, що закріплені Регламентом 2015/751 максимальні ставки </w:t>
      </w:r>
      <w:r w:rsidR="002B53F0">
        <w:rPr>
          <w:rFonts w:ascii="Times New Roman" w:hAnsi="Times New Roman"/>
          <w:sz w:val="28"/>
          <w:szCs w:val="28"/>
        </w:rPr>
        <w:t xml:space="preserve">були запропоновані самими платіжними системами після того, як в рамках антимонопольних розслідувань Єврокомісією було встановлено, що існуюча на момент розслідування ставка </w:t>
      </w:r>
      <w:r w:rsidR="00800038">
        <w:rPr>
          <w:rFonts w:ascii="Times New Roman" w:hAnsi="Times New Roman"/>
          <w:sz w:val="28"/>
          <w:szCs w:val="28"/>
        </w:rPr>
        <w:t xml:space="preserve">за </w:t>
      </w:r>
      <w:r w:rsidR="002B53F0">
        <w:rPr>
          <w:rFonts w:ascii="Times New Roman" w:hAnsi="Times New Roman"/>
          <w:sz w:val="28"/>
          <w:szCs w:val="28"/>
        </w:rPr>
        <w:t>інтерчейндж призводила до обмеження конкуренції.</w:t>
      </w:r>
    </w:p>
    <w:p w14:paraId="47F9FF52" w14:textId="62C37B32" w:rsidR="002B53F0" w:rsidRDefault="002B53F0" w:rsidP="008610FD">
      <w:pPr>
        <w:spacing w:before="120" w:after="0" w:line="240" w:lineRule="auto"/>
        <w:ind w:firstLine="540"/>
        <w:jc w:val="both"/>
        <w:rPr>
          <w:rFonts w:ascii="Times New Roman" w:hAnsi="Times New Roman"/>
          <w:sz w:val="28"/>
          <w:szCs w:val="28"/>
        </w:rPr>
      </w:pPr>
      <w:r>
        <w:rPr>
          <w:rFonts w:ascii="Times New Roman" w:hAnsi="Times New Roman"/>
          <w:sz w:val="28"/>
          <w:szCs w:val="28"/>
        </w:rPr>
        <w:t xml:space="preserve">На необхідність законодавчого обмеження ставки інтерчейнджу вказує і досвід Великобританії, яка одразу </w:t>
      </w:r>
      <w:r w:rsidRPr="002B53F0">
        <w:rPr>
          <w:rFonts w:ascii="Times New Roman" w:hAnsi="Times New Roman"/>
          <w:sz w:val="28"/>
          <w:szCs w:val="28"/>
        </w:rPr>
        <w:t xml:space="preserve">після </w:t>
      </w:r>
      <w:r>
        <w:rPr>
          <w:rFonts w:ascii="Times New Roman" w:hAnsi="Times New Roman"/>
          <w:sz w:val="28"/>
          <w:szCs w:val="28"/>
        </w:rPr>
        <w:t xml:space="preserve">виходу зі складу ЄС прийняла </w:t>
      </w:r>
      <w:r w:rsidRPr="002B53F0">
        <w:rPr>
          <w:rFonts w:ascii="Times New Roman" w:hAnsi="Times New Roman"/>
          <w:sz w:val="28"/>
          <w:szCs w:val="28"/>
        </w:rPr>
        <w:t>внутрішнє регулювання, яке встановило ті ж обмеження ставки інтерчейндж для операцій, що проводяться в Великобританії</w:t>
      </w:r>
      <w:r w:rsidR="00800038">
        <w:rPr>
          <w:rFonts w:ascii="Times New Roman" w:hAnsi="Times New Roman"/>
          <w:sz w:val="28"/>
          <w:szCs w:val="28"/>
        </w:rPr>
        <w:t>,</w:t>
      </w:r>
      <w:r w:rsidRPr="002B53F0">
        <w:rPr>
          <w:rFonts w:ascii="Times New Roman" w:hAnsi="Times New Roman"/>
          <w:sz w:val="28"/>
          <w:szCs w:val="28"/>
        </w:rPr>
        <w:t xml:space="preserve"> на рівні 0,2% для дебет</w:t>
      </w:r>
      <w:r w:rsidR="00800038">
        <w:rPr>
          <w:rFonts w:ascii="Times New Roman" w:hAnsi="Times New Roman"/>
          <w:sz w:val="28"/>
          <w:szCs w:val="28"/>
        </w:rPr>
        <w:t>ов</w:t>
      </w:r>
      <w:r w:rsidRPr="002B53F0">
        <w:rPr>
          <w:rFonts w:ascii="Times New Roman" w:hAnsi="Times New Roman"/>
          <w:sz w:val="28"/>
          <w:szCs w:val="28"/>
        </w:rPr>
        <w:t xml:space="preserve">их карт і 0,3% для кредитних карт. </w:t>
      </w:r>
      <w:r>
        <w:rPr>
          <w:rFonts w:ascii="Times New Roman" w:hAnsi="Times New Roman"/>
          <w:sz w:val="28"/>
          <w:szCs w:val="28"/>
        </w:rPr>
        <w:t xml:space="preserve">Одночасно, ставка комісії інтерчейндж </w:t>
      </w:r>
      <w:r w:rsidRPr="002B53F0">
        <w:rPr>
          <w:rFonts w:ascii="Times New Roman" w:hAnsi="Times New Roman"/>
          <w:sz w:val="28"/>
          <w:szCs w:val="28"/>
        </w:rPr>
        <w:t>для операцій з оплати товарів онлайн у випадку, якщо вони відбуваються між Великобританією та країнами-членами ЄС</w:t>
      </w:r>
      <w:r w:rsidR="00800038">
        <w:rPr>
          <w:rFonts w:ascii="Times New Roman" w:hAnsi="Times New Roman"/>
          <w:sz w:val="28"/>
          <w:szCs w:val="28"/>
        </w:rPr>
        <w:t xml:space="preserve"> (тобто не підпадають ні під дію законодавства Великобританії, ні під дію Регламенту 2015/751)</w:t>
      </w:r>
      <w:r w:rsidRPr="002B53F0">
        <w:rPr>
          <w:rFonts w:ascii="Times New Roman" w:hAnsi="Times New Roman"/>
          <w:sz w:val="28"/>
          <w:szCs w:val="28"/>
        </w:rPr>
        <w:t xml:space="preserve">, </w:t>
      </w:r>
      <w:r w:rsidR="00800038">
        <w:rPr>
          <w:rFonts w:ascii="Times New Roman" w:hAnsi="Times New Roman"/>
          <w:sz w:val="28"/>
          <w:szCs w:val="28"/>
        </w:rPr>
        <w:t xml:space="preserve">одразу ж була підвищена платіжними системами </w:t>
      </w:r>
      <w:r>
        <w:rPr>
          <w:rFonts w:ascii="Times New Roman" w:hAnsi="Times New Roman"/>
          <w:sz w:val="28"/>
          <w:szCs w:val="28"/>
        </w:rPr>
        <w:t xml:space="preserve">у 5 разів. </w:t>
      </w:r>
    </w:p>
    <w:p w14:paraId="0CFBA634" w14:textId="18E8088E" w:rsidR="00306376" w:rsidRDefault="002B53F0" w:rsidP="008610FD">
      <w:pPr>
        <w:spacing w:before="120" w:after="0" w:line="240" w:lineRule="auto"/>
        <w:ind w:firstLine="540"/>
        <w:jc w:val="both"/>
        <w:rPr>
          <w:rFonts w:ascii="Times New Roman" w:hAnsi="Times New Roman"/>
          <w:sz w:val="28"/>
          <w:szCs w:val="28"/>
        </w:rPr>
      </w:pPr>
      <w:r>
        <w:rPr>
          <w:rFonts w:ascii="Times New Roman" w:hAnsi="Times New Roman"/>
          <w:sz w:val="28"/>
          <w:szCs w:val="28"/>
        </w:rPr>
        <w:t>У</w:t>
      </w:r>
      <w:r w:rsidR="00F0066F">
        <w:rPr>
          <w:rFonts w:ascii="Times New Roman" w:hAnsi="Times New Roman"/>
          <w:sz w:val="28"/>
          <w:szCs w:val="28"/>
        </w:rPr>
        <w:t xml:space="preserve"> Сполучених Штатах Америки справляється фіксована комісія інтерчейндж у розмірі 20 центів з кожної безготівкової транзакції.</w:t>
      </w:r>
      <w:r w:rsidR="00800038">
        <w:rPr>
          <w:rFonts w:ascii="Times New Roman" w:hAnsi="Times New Roman"/>
          <w:sz w:val="28"/>
          <w:szCs w:val="28"/>
        </w:rPr>
        <w:t xml:space="preserve"> Граничний розмір комісійної винагороди за інтерчейндж закріплено на законодавчому рівні також в Китаї та Австралії. </w:t>
      </w:r>
    </w:p>
    <w:p w14:paraId="2D23BE22" w14:textId="713E839A" w:rsidR="00306376" w:rsidRDefault="00F0066F" w:rsidP="008610FD">
      <w:pPr>
        <w:pStyle w:val="aa"/>
        <w:spacing w:before="120"/>
        <w:ind w:firstLine="709"/>
        <w:jc w:val="both"/>
        <w:rPr>
          <w:rFonts w:ascii="Times New Roman" w:hAnsi="Times New Roman" w:cs="Times New Roman"/>
          <w:sz w:val="28"/>
          <w:szCs w:val="28"/>
        </w:rPr>
      </w:pPr>
      <w:r w:rsidRPr="00510D73">
        <w:rPr>
          <w:rFonts w:ascii="Times New Roman" w:hAnsi="Times New Roman" w:cs="Times New Roman"/>
          <w:sz w:val="28"/>
          <w:szCs w:val="28"/>
        </w:rPr>
        <w:t xml:space="preserve">Наведені дані свідчать про те, що </w:t>
      </w:r>
      <w:r w:rsidRPr="00510D73">
        <w:rPr>
          <w:rFonts w:ascii="Times New Roman" w:hAnsi="Times New Roman" w:cs="Times New Roman"/>
          <w:b/>
          <w:sz w:val="28"/>
          <w:szCs w:val="28"/>
        </w:rPr>
        <w:t>користуючись своїм монопольним становищем</w:t>
      </w:r>
      <w:r w:rsidRPr="00510D73">
        <w:rPr>
          <w:rFonts w:ascii="Times New Roman" w:hAnsi="Times New Roman" w:cs="Times New Roman"/>
          <w:sz w:val="28"/>
          <w:szCs w:val="28"/>
        </w:rPr>
        <w:t xml:space="preserve"> на ринку України, </w:t>
      </w:r>
      <w:r w:rsidRPr="00510D73">
        <w:rPr>
          <w:rFonts w:ascii="Times New Roman" w:hAnsi="Times New Roman" w:cs="Times New Roman"/>
          <w:b/>
          <w:sz w:val="28"/>
          <w:szCs w:val="28"/>
        </w:rPr>
        <w:t>оператори платіжних систем</w:t>
      </w:r>
      <w:r w:rsidRPr="00510D73">
        <w:rPr>
          <w:rFonts w:ascii="Times New Roman" w:hAnsi="Times New Roman" w:cs="Times New Roman"/>
          <w:sz w:val="28"/>
          <w:szCs w:val="28"/>
        </w:rPr>
        <w:t xml:space="preserve"> </w:t>
      </w:r>
      <w:r w:rsidR="00D478DD" w:rsidRPr="00510D73">
        <w:rPr>
          <w:rFonts w:ascii="Times New Roman" w:hAnsi="Times New Roman" w:cs="Times New Roman"/>
          <w:sz w:val="28"/>
          <w:szCs w:val="28"/>
        </w:rPr>
        <w:t xml:space="preserve">більш ніж </w:t>
      </w:r>
      <w:r w:rsidRPr="00510D73">
        <w:rPr>
          <w:rFonts w:ascii="Times New Roman" w:hAnsi="Times New Roman" w:cs="Times New Roman"/>
          <w:sz w:val="28"/>
          <w:szCs w:val="28"/>
        </w:rPr>
        <w:t xml:space="preserve">у </w:t>
      </w:r>
      <w:r w:rsidR="00D478DD" w:rsidRPr="00510D73">
        <w:rPr>
          <w:rFonts w:ascii="Times New Roman" w:hAnsi="Times New Roman" w:cs="Times New Roman"/>
          <w:b/>
          <w:sz w:val="28"/>
          <w:szCs w:val="28"/>
        </w:rPr>
        <w:t>2</w:t>
      </w:r>
      <w:r w:rsidR="009F13D8" w:rsidRPr="00510D73">
        <w:rPr>
          <w:rFonts w:ascii="Times New Roman" w:hAnsi="Times New Roman" w:cs="Times New Roman"/>
          <w:b/>
          <w:sz w:val="28"/>
          <w:szCs w:val="28"/>
        </w:rPr>
        <w:t xml:space="preserve"> </w:t>
      </w:r>
      <w:r w:rsidRPr="00510D73">
        <w:rPr>
          <w:rFonts w:ascii="Times New Roman" w:hAnsi="Times New Roman" w:cs="Times New Roman"/>
          <w:b/>
          <w:sz w:val="28"/>
          <w:szCs w:val="28"/>
        </w:rPr>
        <w:t>рази</w:t>
      </w:r>
      <w:r w:rsidRPr="00510D73">
        <w:rPr>
          <w:rFonts w:ascii="Times New Roman" w:hAnsi="Times New Roman" w:cs="Times New Roman"/>
          <w:sz w:val="28"/>
          <w:szCs w:val="28"/>
        </w:rPr>
        <w:t xml:space="preserve"> </w:t>
      </w:r>
      <w:r w:rsidRPr="00510D73">
        <w:rPr>
          <w:rFonts w:ascii="Times New Roman" w:hAnsi="Times New Roman" w:cs="Times New Roman"/>
          <w:b/>
          <w:sz w:val="28"/>
          <w:szCs w:val="28"/>
        </w:rPr>
        <w:t>збільшили свої щорічні доходи</w:t>
      </w:r>
      <w:r w:rsidRPr="00510D73">
        <w:rPr>
          <w:rFonts w:ascii="Times New Roman" w:hAnsi="Times New Roman" w:cs="Times New Roman"/>
          <w:sz w:val="28"/>
          <w:szCs w:val="28"/>
        </w:rPr>
        <w:t xml:space="preserve"> </w:t>
      </w:r>
      <w:r w:rsidR="009F13D8" w:rsidRPr="00510D73">
        <w:rPr>
          <w:rFonts w:ascii="Times New Roman" w:hAnsi="Times New Roman" w:cs="Times New Roman"/>
          <w:b/>
          <w:sz w:val="28"/>
          <w:szCs w:val="28"/>
        </w:rPr>
        <w:t xml:space="preserve">від здійснення торгівельного еквайрингу </w:t>
      </w:r>
      <w:r w:rsidRPr="00510D73">
        <w:rPr>
          <w:rFonts w:ascii="Times New Roman" w:hAnsi="Times New Roman" w:cs="Times New Roman"/>
          <w:sz w:val="28"/>
          <w:szCs w:val="28"/>
        </w:rPr>
        <w:t>(якщо співставляти показники 2016 і показники 2020 рок</w:t>
      </w:r>
      <w:r w:rsidR="001B2A6F" w:rsidRPr="00510D73">
        <w:rPr>
          <w:rFonts w:ascii="Times New Roman" w:hAnsi="Times New Roman" w:cs="Times New Roman"/>
          <w:sz w:val="28"/>
          <w:szCs w:val="28"/>
        </w:rPr>
        <w:t>у</w:t>
      </w:r>
      <w:r w:rsidRPr="00510D73">
        <w:rPr>
          <w:rFonts w:ascii="Times New Roman" w:hAnsi="Times New Roman" w:cs="Times New Roman"/>
          <w:sz w:val="28"/>
          <w:szCs w:val="28"/>
        </w:rPr>
        <w:t xml:space="preserve">), </w:t>
      </w:r>
      <w:r w:rsidRPr="00510D73">
        <w:rPr>
          <w:rFonts w:ascii="Times New Roman" w:hAnsi="Times New Roman" w:cs="Times New Roman"/>
          <w:b/>
          <w:sz w:val="28"/>
          <w:szCs w:val="28"/>
        </w:rPr>
        <w:t>але ніяк не знизили вартість торгівельного еквайр</w:t>
      </w:r>
      <w:r w:rsidR="001B2A6F" w:rsidRPr="00510D73">
        <w:rPr>
          <w:rFonts w:ascii="Times New Roman" w:hAnsi="Times New Roman" w:cs="Times New Roman"/>
          <w:b/>
          <w:sz w:val="28"/>
          <w:szCs w:val="28"/>
        </w:rPr>
        <w:t>и</w:t>
      </w:r>
      <w:r w:rsidRPr="00510D73">
        <w:rPr>
          <w:rFonts w:ascii="Times New Roman" w:hAnsi="Times New Roman" w:cs="Times New Roman"/>
          <w:b/>
          <w:sz w:val="28"/>
          <w:szCs w:val="28"/>
        </w:rPr>
        <w:t>нгу</w:t>
      </w:r>
      <w:r w:rsidRPr="00510D73">
        <w:rPr>
          <w:rFonts w:ascii="Times New Roman" w:hAnsi="Times New Roman" w:cs="Times New Roman"/>
          <w:sz w:val="28"/>
          <w:szCs w:val="28"/>
        </w:rPr>
        <w:t xml:space="preserve"> (за безготівковими операціями з використанням платіжних карток), і не мають наміру здійснити це у майбутньому. Очевидно, що </w:t>
      </w:r>
      <w:r w:rsidRPr="00510D73">
        <w:rPr>
          <w:rFonts w:ascii="Times New Roman" w:hAnsi="Times New Roman" w:cs="Times New Roman"/>
          <w:b/>
          <w:sz w:val="28"/>
          <w:szCs w:val="28"/>
        </w:rPr>
        <w:t xml:space="preserve">в даному випадку, закони ринку, у їх класичному </w:t>
      </w:r>
      <w:r w:rsidRPr="00510D73">
        <w:rPr>
          <w:rFonts w:ascii="Times New Roman" w:hAnsi="Times New Roman" w:cs="Times New Roman"/>
          <w:b/>
          <w:sz w:val="28"/>
          <w:szCs w:val="28"/>
        </w:rPr>
        <w:lastRenderedPageBreak/>
        <w:t>тлумаченні, не працюють</w:t>
      </w:r>
      <w:r w:rsidRPr="00510D73">
        <w:rPr>
          <w:rFonts w:ascii="Times New Roman" w:hAnsi="Times New Roman" w:cs="Times New Roman"/>
          <w:sz w:val="28"/>
          <w:szCs w:val="28"/>
        </w:rPr>
        <w:t xml:space="preserve">, а економічно обґрунтоване </w:t>
      </w:r>
      <w:r w:rsidRPr="00510D73">
        <w:rPr>
          <w:rFonts w:ascii="Times New Roman" w:hAnsi="Times New Roman" w:cs="Times New Roman"/>
          <w:b/>
          <w:sz w:val="28"/>
          <w:szCs w:val="28"/>
        </w:rPr>
        <w:t>врівноваження інтересів</w:t>
      </w:r>
      <w:r w:rsidRPr="00510D73">
        <w:rPr>
          <w:rFonts w:ascii="Times New Roman" w:hAnsi="Times New Roman" w:cs="Times New Roman"/>
          <w:sz w:val="28"/>
          <w:szCs w:val="28"/>
        </w:rPr>
        <w:t xml:space="preserve"> усіх зацікавлених сторін можливе лише за умови регуляторного (Антимонопольний комітет України) або законодавчого (Верховна Рада України) </w:t>
      </w:r>
      <w:r w:rsidRPr="00510D73">
        <w:rPr>
          <w:rFonts w:ascii="Times New Roman" w:hAnsi="Times New Roman" w:cs="Times New Roman"/>
          <w:b/>
          <w:sz w:val="28"/>
          <w:szCs w:val="28"/>
        </w:rPr>
        <w:t>втручання держави</w:t>
      </w:r>
      <w:r w:rsidRPr="00510D73">
        <w:rPr>
          <w:rFonts w:ascii="Times New Roman" w:hAnsi="Times New Roman" w:cs="Times New Roman"/>
          <w:sz w:val="28"/>
          <w:szCs w:val="28"/>
        </w:rPr>
        <w:t>. При цьому, мінімальні правові та фінансові наслідки матиме саме законодавчий шлях врегулювання цієї проблеми, оскільки він не передбачає права на подальші вимоги торговців щодо відшкодування операторами платіжних систем надлишково сплачених коштів (збитків) за минулі періоди, що цілком можливо у разі прийняття регуляторного рішення Антимонопольним комітетом України.</w:t>
      </w:r>
    </w:p>
    <w:p w14:paraId="4F41E7E5" w14:textId="77777777" w:rsidR="00306376" w:rsidRDefault="00F0066F" w:rsidP="008610FD">
      <w:pPr>
        <w:pStyle w:val="aa"/>
        <w:spacing w:before="120"/>
        <w:ind w:firstLine="709"/>
        <w:jc w:val="both"/>
        <w:rPr>
          <w:rStyle w:val="a9"/>
          <w:rFonts w:ascii="Times New Roman" w:hAnsi="Times New Roman"/>
          <w:i w:val="0"/>
          <w:color w:val="000000"/>
          <w:sz w:val="28"/>
          <w:szCs w:val="28"/>
          <w:bdr w:val="none" w:sz="0" w:space="0" w:color="auto" w:frame="1"/>
        </w:rPr>
      </w:pPr>
      <w:r>
        <w:rPr>
          <w:rStyle w:val="a9"/>
          <w:rFonts w:ascii="Times New Roman" w:hAnsi="Times New Roman"/>
          <w:i w:val="0"/>
          <w:color w:val="000000"/>
          <w:sz w:val="28"/>
          <w:szCs w:val="28"/>
          <w:bdr w:val="none" w:sz="0" w:space="0" w:color="auto" w:frame="1"/>
        </w:rPr>
        <w:t xml:space="preserve">Тому регулятор, у </w:t>
      </w:r>
      <w:r>
        <w:rPr>
          <w:rFonts w:ascii="Times New Roman" w:hAnsi="Times New Roman" w:cs="Times New Roman"/>
          <w:sz w:val="28"/>
          <w:szCs w:val="28"/>
        </w:rPr>
        <w:t xml:space="preserve">стратегії Національного банку України по впровадженню Cashless economy в Україні, також передбачає впровадження </w:t>
      </w:r>
      <w:r>
        <w:rPr>
          <w:rStyle w:val="a9"/>
          <w:rFonts w:ascii="Times New Roman" w:hAnsi="Times New Roman"/>
          <w:i w:val="0"/>
          <w:color w:val="000000"/>
          <w:sz w:val="28"/>
          <w:szCs w:val="28"/>
          <w:bdr w:val="none" w:sz="0" w:space="0" w:color="auto" w:frame="1"/>
        </w:rPr>
        <w:t xml:space="preserve">обмеження розміру комісійної винагороди інтерчейндж і поступове  зниження цього показника до економічно зрівноваженого значення. </w:t>
      </w:r>
    </w:p>
    <w:p w14:paraId="2E6A0D9A" w14:textId="408C2526" w:rsidR="00306376" w:rsidRDefault="00F0066F" w:rsidP="008610FD">
      <w:pPr>
        <w:pStyle w:val="aa"/>
        <w:spacing w:before="120"/>
        <w:ind w:firstLine="709"/>
        <w:jc w:val="both"/>
        <w:rPr>
          <w:rStyle w:val="a9"/>
          <w:rFonts w:ascii="Times New Roman" w:hAnsi="Times New Roman"/>
          <w:i w:val="0"/>
          <w:color w:val="000000"/>
          <w:sz w:val="28"/>
          <w:szCs w:val="28"/>
          <w:bdr w:val="none" w:sz="0" w:space="0" w:color="auto" w:frame="1"/>
        </w:rPr>
      </w:pPr>
      <w:r>
        <w:rPr>
          <w:rStyle w:val="a9"/>
          <w:rFonts w:ascii="Times New Roman" w:hAnsi="Times New Roman"/>
          <w:i w:val="0"/>
          <w:color w:val="000000"/>
          <w:sz w:val="28"/>
          <w:szCs w:val="28"/>
          <w:bdr w:val="none" w:sz="0" w:space="0" w:color="auto" w:frame="1"/>
        </w:rPr>
        <w:t xml:space="preserve">Як було вказано вище, 19 березня 2021 року, </w:t>
      </w:r>
      <w:r w:rsidR="00F0745E">
        <w:rPr>
          <w:rStyle w:val="a9"/>
          <w:rFonts w:ascii="Times New Roman" w:hAnsi="Times New Roman"/>
          <w:i w:val="0"/>
          <w:color w:val="000000"/>
          <w:sz w:val="28"/>
          <w:szCs w:val="28"/>
          <w:bdr w:val="none" w:sz="0" w:space="0" w:color="auto" w:frame="1"/>
        </w:rPr>
        <w:t xml:space="preserve">більшість учасників засідання </w:t>
      </w:r>
      <w:r>
        <w:rPr>
          <w:rStyle w:val="a9"/>
          <w:rFonts w:ascii="Times New Roman" w:hAnsi="Times New Roman"/>
          <w:i w:val="0"/>
          <w:color w:val="000000"/>
          <w:sz w:val="28"/>
          <w:szCs w:val="28"/>
          <w:bdr w:val="none" w:sz="0" w:space="0" w:color="auto" w:frame="1"/>
        </w:rPr>
        <w:t>Національн</w:t>
      </w:r>
      <w:r w:rsidR="00F0745E">
        <w:rPr>
          <w:rStyle w:val="a9"/>
          <w:rFonts w:ascii="Times New Roman" w:hAnsi="Times New Roman"/>
          <w:i w:val="0"/>
          <w:color w:val="000000"/>
          <w:sz w:val="28"/>
          <w:szCs w:val="28"/>
          <w:bdr w:val="none" w:sz="0" w:space="0" w:color="auto" w:frame="1"/>
        </w:rPr>
        <w:t>ої</w:t>
      </w:r>
      <w:r>
        <w:rPr>
          <w:rStyle w:val="a9"/>
          <w:rFonts w:ascii="Times New Roman" w:hAnsi="Times New Roman"/>
          <w:i w:val="0"/>
          <w:color w:val="000000"/>
          <w:sz w:val="28"/>
          <w:szCs w:val="28"/>
          <w:bdr w:val="none" w:sz="0" w:space="0" w:color="auto" w:frame="1"/>
        </w:rPr>
        <w:t xml:space="preserve"> рад</w:t>
      </w:r>
      <w:r w:rsidR="00F0745E">
        <w:rPr>
          <w:rStyle w:val="a9"/>
          <w:rFonts w:ascii="Times New Roman" w:hAnsi="Times New Roman"/>
          <w:i w:val="0"/>
          <w:color w:val="000000"/>
          <w:sz w:val="28"/>
          <w:szCs w:val="28"/>
          <w:bdr w:val="none" w:sz="0" w:space="0" w:color="auto" w:frame="1"/>
        </w:rPr>
        <w:t>и</w:t>
      </w:r>
      <w:r>
        <w:rPr>
          <w:rStyle w:val="a9"/>
          <w:rFonts w:ascii="Times New Roman" w:hAnsi="Times New Roman"/>
          <w:i w:val="0"/>
          <w:color w:val="000000"/>
          <w:sz w:val="28"/>
          <w:szCs w:val="28"/>
          <w:bdr w:val="none" w:sz="0" w:space="0" w:color="auto" w:frame="1"/>
        </w:rPr>
        <w:t xml:space="preserve"> реформ при </w:t>
      </w:r>
      <w:r w:rsidR="00F0745E">
        <w:rPr>
          <w:rStyle w:val="a9"/>
          <w:rFonts w:ascii="Times New Roman" w:hAnsi="Times New Roman"/>
          <w:i w:val="0"/>
          <w:color w:val="000000"/>
          <w:sz w:val="28"/>
          <w:szCs w:val="28"/>
          <w:bdr w:val="none" w:sz="0" w:space="0" w:color="auto" w:frame="1"/>
        </w:rPr>
        <w:t>П</w:t>
      </w:r>
      <w:r>
        <w:rPr>
          <w:rStyle w:val="a9"/>
          <w:rFonts w:ascii="Times New Roman" w:hAnsi="Times New Roman"/>
          <w:i w:val="0"/>
          <w:color w:val="000000"/>
          <w:sz w:val="28"/>
          <w:szCs w:val="28"/>
          <w:bdr w:val="none" w:sz="0" w:space="0" w:color="auto" w:frame="1"/>
        </w:rPr>
        <w:t>резидентові України підтримал</w:t>
      </w:r>
      <w:r w:rsidR="00F0745E">
        <w:rPr>
          <w:rStyle w:val="a9"/>
          <w:rFonts w:ascii="Times New Roman" w:hAnsi="Times New Roman"/>
          <w:i w:val="0"/>
          <w:color w:val="000000"/>
          <w:sz w:val="28"/>
          <w:szCs w:val="28"/>
          <w:bdr w:val="none" w:sz="0" w:space="0" w:color="auto" w:frame="1"/>
        </w:rPr>
        <w:t>и</w:t>
      </w:r>
      <w:r>
        <w:rPr>
          <w:rStyle w:val="a9"/>
          <w:rFonts w:ascii="Times New Roman" w:hAnsi="Times New Roman"/>
          <w:i w:val="0"/>
          <w:color w:val="000000"/>
          <w:sz w:val="28"/>
          <w:szCs w:val="28"/>
          <w:bdr w:val="none" w:sz="0" w:space="0" w:color="auto" w:frame="1"/>
        </w:rPr>
        <w:t xml:space="preserve"> ініціативу про законодавче обмеження комісії за інтерчейндж. Проте, всупереч рішенню Національної ради реформ, законодавче обмеження так і не було запроваджено до цього часу. Натомість, Національний банк України спільно з міжнародними платіжними системами Visa та Mastercard уклали меморандум за яким вони планують  поступове зниження граничних розмірів ставок комісії </w:t>
      </w:r>
      <w:r w:rsidR="004C02A1">
        <w:rPr>
          <w:rStyle w:val="a9"/>
          <w:rFonts w:ascii="Times New Roman" w:hAnsi="Times New Roman"/>
          <w:i w:val="0"/>
          <w:color w:val="000000"/>
          <w:sz w:val="28"/>
          <w:szCs w:val="28"/>
          <w:bdr w:val="none" w:sz="0" w:space="0" w:color="auto" w:frame="1"/>
        </w:rPr>
        <w:t xml:space="preserve">за </w:t>
      </w:r>
      <w:r>
        <w:rPr>
          <w:rStyle w:val="a9"/>
          <w:rFonts w:ascii="Times New Roman" w:hAnsi="Times New Roman"/>
          <w:i w:val="0"/>
          <w:color w:val="000000"/>
          <w:sz w:val="28"/>
          <w:szCs w:val="28"/>
          <w:bdr w:val="none" w:sz="0" w:space="0" w:color="auto" w:frame="1"/>
        </w:rPr>
        <w:t>інтерчейндж, зокрема комісії мають становити:</w:t>
      </w:r>
    </w:p>
    <w:p w14:paraId="3598A12A" w14:textId="77777777" w:rsidR="00306376" w:rsidRDefault="00F0066F" w:rsidP="008610FD">
      <w:pPr>
        <w:pStyle w:val="aa"/>
        <w:numPr>
          <w:ilvl w:val="0"/>
          <w:numId w:val="1"/>
        </w:numPr>
        <w:spacing w:before="120"/>
        <w:jc w:val="both"/>
        <w:rPr>
          <w:rStyle w:val="a9"/>
          <w:rFonts w:ascii="Times New Roman" w:hAnsi="Times New Roman"/>
          <w:i w:val="0"/>
          <w:sz w:val="28"/>
          <w:szCs w:val="28"/>
          <w:bdr w:val="none" w:sz="0" w:space="0" w:color="auto" w:frame="1"/>
        </w:rPr>
      </w:pPr>
      <w:r>
        <w:rPr>
          <w:rStyle w:val="a9"/>
          <w:rFonts w:ascii="Times New Roman" w:hAnsi="Times New Roman"/>
          <w:i w:val="0"/>
          <w:sz w:val="28"/>
          <w:szCs w:val="28"/>
          <w:bdr w:val="none" w:sz="0" w:space="0" w:color="auto" w:frame="1"/>
        </w:rPr>
        <w:t>з 01.07.2021 – не більше 1,20%;</w:t>
      </w:r>
    </w:p>
    <w:p w14:paraId="3B6BA864" w14:textId="77777777" w:rsidR="00306376" w:rsidRDefault="00F0066F" w:rsidP="008610FD">
      <w:pPr>
        <w:pStyle w:val="aa"/>
        <w:numPr>
          <w:ilvl w:val="0"/>
          <w:numId w:val="1"/>
        </w:numPr>
        <w:spacing w:before="120"/>
        <w:jc w:val="both"/>
        <w:rPr>
          <w:rStyle w:val="a9"/>
          <w:rFonts w:ascii="Times New Roman" w:hAnsi="Times New Roman"/>
          <w:i w:val="0"/>
          <w:sz w:val="28"/>
          <w:szCs w:val="28"/>
          <w:bdr w:val="none" w:sz="0" w:space="0" w:color="auto" w:frame="1"/>
        </w:rPr>
      </w:pPr>
      <w:r>
        <w:rPr>
          <w:rStyle w:val="a9"/>
          <w:rFonts w:ascii="Times New Roman" w:hAnsi="Times New Roman"/>
          <w:i w:val="0"/>
          <w:sz w:val="28"/>
          <w:szCs w:val="28"/>
          <w:bdr w:val="none" w:sz="0" w:space="0" w:color="auto" w:frame="1"/>
        </w:rPr>
        <w:t>з 01.07.2022 – не більше 1,00%;</w:t>
      </w:r>
    </w:p>
    <w:p w14:paraId="2C27DFE4" w14:textId="77777777" w:rsidR="00306376" w:rsidRDefault="00F0066F" w:rsidP="008610FD">
      <w:pPr>
        <w:pStyle w:val="aa"/>
        <w:numPr>
          <w:ilvl w:val="0"/>
          <w:numId w:val="1"/>
        </w:numPr>
        <w:spacing w:before="120"/>
        <w:jc w:val="both"/>
        <w:rPr>
          <w:rStyle w:val="a9"/>
          <w:rFonts w:ascii="Times New Roman" w:hAnsi="Times New Roman"/>
          <w:i w:val="0"/>
          <w:sz w:val="28"/>
          <w:szCs w:val="28"/>
          <w:bdr w:val="none" w:sz="0" w:space="0" w:color="auto" w:frame="1"/>
        </w:rPr>
      </w:pPr>
      <w:r>
        <w:rPr>
          <w:rStyle w:val="a9"/>
          <w:rFonts w:ascii="Times New Roman" w:hAnsi="Times New Roman"/>
          <w:i w:val="0"/>
          <w:sz w:val="28"/>
          <w:szCs w:val="28"/>
          <w:bdr w:val="none" w:sz="0" w:space="0" w:color="auto" w:frame="1"/>
        </w:rPr>
        <w:t>з 01.07.2023 – не більше 0,90%.</w:t>
      </w:r>
    </w:p>
    <w:p w14:paraId="10C50652" w14:textId="064BA575" w:rsidR="00306376" w:rsidRDefault="00F0066F" w:rsidP="008610FD">
      <w:pPr>
        <w:pStyle w:val="aa"/>
        <w:spacing w:before="120"/>
        <w:ind w:firstLine="708"/>
        <w:jc w:val="both"/>
        <w:rPr>
          <w:rStyle w:val="a9"/>
          <w:rFonts w:ascii="Times New Roman" w:hAnsi="Times New Roman"/>
          <w:i w:val="0"/>
          <w:color w:val="000000"/>
          <w:sz w:val="28"/>
          <w:szCs w:val="28"/>
          <w:bdr w:val="none" w:sz="0" w:space="0" w:color="auto" w:frame="1"/>
        </w:rPr>
      </w:pPr>
      <w:r>
        <w:rPr>
          <w:rStyle w:val="a9"/>
          <w:rFonts w:ascii="Times New Roman" w:hAnsi="Times New Roman"/>
          <w:i w:val="0"/>
          <w:color w:val="000000"/>
          <w:sz w:val="28"/>
          <w:szCs w:val="28"/>
          <w:bdr w:val="none" w:sz="0" w:space="0" w:color="auto" w:frame="1"/>
        </w:rPr>
        <w:t>Запропоновані у меморандумі ставки є значно вищими ніж ті, які були підтримані Національною радою реформ</w:t>
      </w:r>
      <w:r w:rsidR="004C02A1">
        <w:rPr>
          <w:rStyle w:val="a9"/>
          <w:rFonts w:ascii="Times New Roman" w:hAnsi="Times New Roman"/>
          <w:i w:val="0"/>
          <w:color w:val="000000"/>
          <w:sz w:val="28"/>
          <w:szCs w:val="28"/>
          <w:bdr w:val="none" w:sz="0" w:space="0" w:color="auto" w:frame="1"/>
        </w:rPr>
        <w:t>, і ті, які діють у країнах Європейського Союзу</w:t>
      </w:r>
      <w:r>
        <w:rPr>
          <w:rStyle w:val="a9"/>
          <w:rFonts w:ascii="Times New Roman" w:hAnsi="Times New Roman"/>
          <w:i w:val="0"/>
          <w:color w:val="000000"/>
          <w:sz w:val="28"/>
          <w:szCs w:val="28"/>
          <w:bdr w:val="none" w:sz="0" w:space="0" w:color="auto" w:frame="1"/>
        </w:rPr>
        <w:t>. Сама процедура укладення меморандуму була непрозорою, оскільки відбувал</w:t>
      </w:r>
      <w:r w:rsidR="00800038">
        <w:rPr>
          <w:rStyle w:val="a9"/>
          <w:rFonts w:ascii="Times New Roman" w:hAnsi="Times New Roman"/>
          <w:i w:val="0"/>
          <w:color w:val="000000"/>
          <w:sz w:val="28"/>
          <w:szCs w:val="28"/>
          <w:bdr w:val="none" w:sz="0" w:space="0" w:color="auto" w:frame="1"/>
        </w:rPr>
        <w:t>а</w:t>
      </w:r>
      <w:r>
        <w:rPr>
          <w:rStyle w:val="a9"/>
          <w:rFonts w:ascii="Times New Roman" w:hAnsi="Times New Roman"/>
          <w:i w:val="0"/>
          <w:color w:val="000000"/>
          <w:sz w:val="28"/>
          <w:szCs w:val="28"/>
          <w:bdr w:val="none" w:sz="0" w:space="0" w:color="auto" w:frame="1"/>
        </w:rPr>
        <w:t>сь без інформування та залучення підприємців та споживачів. До того ж, меморандум немає юридичної сили та не усуває можливі прогалини, за якими місце незначного зменшення комісії інтерчейндж можуть зайняти інші комісії та платежі. Загалом</w:t>
      </w:r>
      <w:r w:rsidRPr="00F0745E">
        <w:rPr>
          <w:rStyle w:val="a9"/>
          <w:rFonts w:hAnsi="Times New Roman"/>
          <w:i w:val="0"/>
          <w:color w:val="000000"/>
          <w:sz w:val="28"/>
          <w:szCs w:val="28"/>
          <w:bdr w:val="none" w:sz="0" w:space="0" w:color="auto" w:frame="1"/>
          <w:lang w:val="ru-RU"/>
        </w:rPr>
        <w:t>,</w:t>
      </w:r>
      <w:r>
        <w:rPr>
          <w:rStyle w:val="a9"/>
          <w:rFonts w:ascii="Times New Roman" w:hAnsi="Times New Roman"/>
          <w:i w:val="0"/>
          <w:color w:val="000000"/>
          <w:sz w:val="28"/>
          <w:szCs w:val="28"/>
          <w:bdr w:val="none" w:sz="0" w:space="0" w:color="auto" w:frame="1"/>
        </w:rPr>
        <w:t xml:space="preserve"> меморандум не призведе до реального зменшення комісії</w:t>
      </w:r>
      <w:r w:rsidR="004C02A1">
        <w:rPr>
          <w:rStyle w:val="a9"/>
          <w:rFonts w:ascii="Times New Roman" w:hAnsi="Times New Roman"/>
          <w:i w:val="0"/>
          <w:color w:val="000000"/>
          <w:sz w:val="28"/>
          <w:szCs w:val="28"/>
          <w:bdr w:val="none" w:sz="0" w:space="0" w:color="auto" w:frame="1"/>
        </w:rPr>
        <w:t xml:space="preserve"> за торгівельний еквайринг</w:t>
      </w:r>
      <w:r>
        <w:rPr>
          <w:rStyle w:val="a9"/>
          <w:rFonts w:ascii="Times New Roman" w:hAnsi="Times New Roman"/>
          <w:i w:val="0"/>
          <w:color w:val="000000"/>
          <w:sz w:val="28"/>
          <w:szCs w:val="28"/>
          <w:bdr w:val="none" w:sz="0" w:space="0" w:color="auto" w:frame="1"/>
        </w:rPr>
        <w:t>, яку сплачують підприємці в Україні.</w:t>
      </w:r>
    </w:p>
    <w:p w14:paraId="71903F1E" w14:textId="77777777" w:rsidR="00306376" w:rsidRDefault="00F0066F" w:rsidP="008610FD">
      <w:pPr>
        <w:pStyle w:val="aa"/>
        <w:spacing w:before="120"/>
        <w:ind w:firstLine="709"/>
        <w:jc w:val="both"/>
        <w:rPr>
          <w:rStyle w:val="a9"/>
          <w:rFonts w:ascii="Times New Roman" w:hAnsi="Times New Roman"/>
          <w:i w:val="0"/>
          <w:color w:val="000000"/>
          <w:sz w:val="28"/>
          <w:szCs w:val="28"/>
          <w:bdr w:val="none" w:sz="0" w:space="0" w:color="auto" w:frame="1"/>
        </w:rPr>
      </w:pPr>
      <w:r>
        <w:rPr>
          <w:rStyle w:val="a9"/>
          <w:rFonts w:ascii="Times New Roman" w:hAnsi="Times New Roman"/>
          <w:i w:val="0"/>
          <w:color w:val="000000"/>
          <w:sz w:val="28"/>
          <w:szCs w:val="28"/>
          <w:bdr w:val="none" w:sz="0" w:space="0" w:color="auto" w:frame="1"/>
        </w:rPr>
        <w:t>Спираючись на досвід Європейського Союзу, впровадження законодавчого обмеження банківських комісій при безготівкових операціях, проведених за допомогою платіжних карт, є єдиним правильним рішенням у цьому питанні. Запропонованим проектом закону пропонується наблизити правове регулювання комісії інтерчейндж відповідно до норм, що діють у Європейському Союзі, а також встановити законодавче регулювання в Україні</w:t>
      </w:r>
      <w:r w:rsidRPr="00F0745E">
        <w:rPr>
          <w:rStyle w:val="a9"/>
          <w:rFonts w:ascii="Times New Roman" w:hAnsi="Times New Roman"/>
          <w:i w:val="0"/>
          <w:color w:val="000000"/>
          <w:sz w:val="28"/>
          <w:szCs w:val="28"/>
          <w:bdr w:val="none" w:sz="0" w:space="0" w:color="auto" w:frame="1"/>
          <w:lang w:val="ru-RU"/>
        </w:rPr>
        <w:t xml:space="preserve">, </w:t>
      </w:r>
      <w:r>
        <w:rPr>
          <w:rStyle w:val="a9"/>
          <w:rFonts w:ascii="Times New Roman" w:hAnsi="Times New Roman"/>
          <w:i w:val="0"/>
          <w:color w:val="000000"/>
          <w:sz w:val="28"/>
          <w:szCs w:val="28"/>
          <w:bdr w:val="none" w:sz="0" w:space="0" w:color="auto" w:frame="1"/>
        </w:rPr>
        <w:t>яке усуває правові прогалини у цій сфері для захисту учасників ринку.</w:t>
      </w:r>
    </w:p>
    <w:p w14:paraId="45D25F1B" w14:textId="5E9D2F08" w:rsidR="00306376" w:rsidRDefault="00306376" w:rsidP="008610FD">
      <w:pPr>
        <w:pStyle w:val="aa"/>
        <w:spacing w:before="120"/>
        <w:ind w:firstLine="709"/>
        <w:jc w:val="both"/>
        <w:rPr>
          <w:rFonts w:ascii="Times New Roman" w:hAnsi="Times New Roman" w:cs="Times New Roman"/>
          <w:sz w:val="28"/>
          <w:szCs w:val="28"/>
        </w:rPr>
      </w:pPr>
    </w:p>
    <w:p w14:paraId="4F22212B" w14:textId="77777777" w:rsidR="009238D6" w:rsidRDefault="009238D6" w:rsidP="008610FD">
      <w:pPr>
        <w:pStyle w:val="aa"/>
        <w:spacing w:before="120"/>
        <w:ind w:firstLine="709"/>
        <w:jc w:val="both"/>
        <w:rPr>
          <w:rFonts w:ascii="Times New Roman" w:hAnsi="Times New Roman" w:cs="Times New Roman"/>
          <w:sz w:val="28"/>
          <w:szCs w:val="28"/>
        </w:rPr>
      </w:pPr>
    </w:p>
    <w:p w14:paraId="004F8207" w14:textId="77777777" w:rsidR="0008773D" w:rsidRDefault="0008773D" w:rsidP="008610FD">
      <w:pPr>
        <w:pStyle w:val="a3"/>
        <w:spacing w:before="120" w:after="0" w:line="240" w:lineRule="auto"/>
        <w:ind w:left="0" w:firstLine="709"/>
        <w:jc w:val="both"/>
        <w:rPr>
          <w:rFonts w:ascii="Times New Roman" w:hAnsi="Times New Roman" w:cs="Times New Roman"/>
          <w:b/>
          <w:bCs/>
          <w:sz w:val="28"/>
          <w:szCs w:val="28"/>
          <w:lang w:val="ru-RU"/>
        </w:rPr>
      </w:pPr>
      <w:r>
        <w:rPr>
          <w:rFonts w:ascii="Times New Roman" w:hAnsi="Times New Roman" w:cs="Times New Roman"/>
          <w:b/>
          <w:bCs/>
          <w:sz w:val="28"/>
          <w:szCs w:val="28"/>
        </w:rPr>
        <w:lastRenderedPageBreak/>
        <w:t>2. Цілі та основні завдання прийняття законопроекту</w:t>
      </w:r>
    </w:p>
    <w:p w14:paraId="053C05F0" w14:textId="77777777" w:rsidR="0008773D" w:rsidRPr="005005AF" w:rsidRDefault="0008773D" w:rsidP="008610FD">
      <w:pPr>
        <w:pStyle w:val="aa"/>
        <w:spacing w:before="120"/>
        <w:ind w:firstLine="708"/>
        <w:jc w:val="both"/>
        <w:rPr>
          <w:rFonts w:ascii="Times New Roman" w:hAnsi="Times New Roman" w:cs="Times New Roman"/>
          <w:sz w:val="28"/>
          <w:szCs w:val="28"/>
        </w:rPr>
      </w:pPr>
      <w:r>
        <w:rPr>
          <w:rFonts w:ascii="Times New Roman" w:hAnsi="Times New Roman" w:cs="Times New Roman"/>
          <w:sz w:val="28"/>
          <w:szCs w:val="28"/>
        </w:rPr>
        <w:t>Проект Закону України розроблений з метою гармонізації законодавства про інтерчейндж до законодавства Європейського Союзу шляхом поступового переходу до граничного розміру комісійної винагороди за інтерчейндж на рівні, встановленому</w:t>
      </w:r>
      <w:r w:rsidRPr="005005AF">
        <w:rPr>
          <w:rFonts w:ascii="Times New Roman" w:hAnsi="Times New Roman" w:cs="Times New Roman"/>
          <w:sz w:val="28"/>
          <w:szCs w:val="28"/>
        </w:rPr>
        <w:t xml:space="preserve"> положеннями Регламенту 2015/751 Європейського Парламенту </w:t>
      </w:r>
      <w:r>
        <w:rPr>
          <w:rFonts w:ascii="Times New Roman" w:hAnsi="Times New Roman" w:cs="Times New Roman"/>
          <w:sz w:val="28"/>
          <w:szCs w:val="28"/>
        </w:rPr>
        <w:t xml:space="preserve">та Ради від 29 квітня 2015 року. </w:t>
      </w:r>
    </w:p>
    <w:p w14:paraId="6ABC6EED" w14:textId="77777777" w:rsidR="0008773D" w:rsidRDefault="0008773D"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Запропоновані законопроектом зміни дозволять поступово зменшити фінансове навантаження на суб’єктів господарювання під час здійснення операцій за допомогою платіжних карток, зумовлене викривленням конкуренції на ринку торгівельного еквайрингу, шляхом встановлення на законодавчому рівні максимального граничного розміру комісійної винагороди за інтерчейндж. </w:t>
      </w:r>
    </w:p>
    <w:p w14:paraId="59F85EC9" w14:textId="77777777" w:rsidR="0008773D" w:rsidRPr="00E57270" w:rsidRDefault="0008773D" w:rsidP="008610FD">
      <w:pPr>
        <w:pStyle w:val="aa"/>
        <w:spacing w:before="120"/>
        <w:ind w:firstLine="709"/>
        <w:jc w:val="both"/>
        <w:rPr>
          <w:rFonts w:ascii="Times New Roman" w:hAnsi="Times New Roman" w:cs="Times New Roman"/>
          <w:sz w:val="28"/>
          <w:szCs w:val="28"/>
        </w:rPr>
      </w:pPr>
      <w:r w:rsidRPr="00E57270">
        <w:rPr>
          <w:rFonts w:ascii="Times New Roman" w:hAnsi="Times New Roman" w:cs="Times New Roman"/>
          <w:sz w:val="28"/>
          <w:szCs w:val="28"/>
        </w:rPr>
        <w:t xml:space="preserve">Прийняття законопроекту створить сприятливі умови для ведення та розвитку бізнесу, </w:t>
      </w:r>
      <w:r>
        <w:rPr>
          <w:rFonts w:ascii="Times New Roman" w:hAnsi="Times New Roman" w:cs="Times New Roman"/>
          <w:sz w:val="28"/>
          <w:szCs w:val="28"/>
        </w:rPr>
        <w:t xml:space="preserve">стимулюватиме подальше зростання обсягу безготівкових платежів з використанням платіжних карток, </w:t>
      </w:r>
      <w:r w:rsidRPr="00E57270">
        <w:rPr>
          <w:rFonts w:ascii="Times New Roman" w:hAnsi="Times New Roman" w:cs="Times New Roman"/>
          <w:sz w:val="28"/>
          <w:szCs w:val="28"/>
        </w:rPr>
        <w:t>покращить інвестиційний клімат в Україні та підвищить позиції України в у міжнародному рейтингу Doing Business.</w:t>
      </w:r>
    </w:p>
    <w:p w14:paraId="2859332A" w14:textId="77777777" w:rsidR="0008773D" w:rsidRDefault="0008773D" w:rsidP="008610FD">
      <w:pPr>
        <w:spacing w:before="120" w:after="0" w:line="240" w:lineRule="auto"/>
        <w:ind w:firstLine="709"/>
        <w:jc w:val="both"/>
        <w:rPr>
          <w:rFonts w:ascii="Times New Roman" w:hAnsi="Times New Roman"/>
          <w:b/>
          <w:bCs/>
          <w:sz w:val="28"/>
          <w:szCs w:val="28"/>
        </w:rPr>
      </w:pPr>
    </w:p>
    <w:p w14:paraId="010CAC8D" w14:textId="77777777" w:rsidR="0008773D" w:rsidRDefault="0008773D" w:rsidP="008610FD">
      <w:pPr>
        <w:spacing w:before="120" w:after="0" w:line="240" w:lineRule="auto"/>
        <w:ind w:firstLine="709"/>
        <w:jc w:val="both"/>
        <w:rPr>
          <w:rFonts w:ascii="Times New Roman" w:hAnsi="Times New Roman"/>
          <w:b/>
          <w:bCs/>
          <w:sz w:val="28"/>
          <w:szCs w:val="28"/>
        </w:rPr>
      </w:pPr>
      <w:r>
        <w:rPr>
          <w:rFonts w:ascii="Times New Roman" w:hAnsi="Times New Roman"/>
          <w:b/>
          <w:bCs/>
          <w:sz w:val="28"/>
          <w:szCs w:val="28"/>
        </w:rPr>
        <w:t>3. Загальна характеристика та основні положення законопроекту</w:t>
      </w:r>
    </w:p>
    <w:p w14:paraId="5E444BFA" w14:textId="77777777" w:rsidR="0008773D" w:rsidRDefault="0008773D" w:rsidP="008610FD">
      <w:pPr>
        <w:pStyle w:val="aa"/>
        <w:spacing w:before="120"/>
        <w:ind w:firstLine="709"/>
        <w:jc w:val="both"/>
        <w:rPr>
          <w:rFonts w:ascii="Times New Roman" w:hAnsi="Times New Roman"/>
          <w:color w:val="000000"/>
          <w:sz w:val="28"/>
          <w:szCs w:val="28"/>
        </w:rPr>
      </w:pPr>
      <w:r w:rsidRPr="00E57270">
        <w:rPr>
          <w:rFonts w:ascii="Times New Roman" w:hAnsi="Times New Roman" w:cs="Times New Roman"/>
          <w:sz w:val="28"/>
          <w:szCs w:val="28"/>
        </w:rPr>
        <w:t>Пр</w:t>
      </w:r>
      <w:r w:rsidRPr="00E57270">
        <w:rPr>
          <w:rFonts w:ascii="Times New Roman" w:hAnsi="Times New Roman"/>
          <w:sz w:val="28"/>
          <w:szCs w:val="28"/>
        </w:rPr>
        <w:t xml:space="preserve">оектом Закону України пропонується внести зміни до </w:t>
      </w:r>
      <w:r w:rsidRPr="00E57270">
        <w:rPr>
          <w:rFonts w:ascii="Times New Roman" w:hAnsi="Times New Roman" w:cs="Times New Roman"/>
          <w:sz w:val="28"/>
          <w:szCs w:val="28"/>
        </w:rPr>
        <w:t xml:space="preserve">Закону України «Про платіжні системи та переказ коштів в Україні», Закону України «Про  </w:t>
      </w:r>
      <w:r w:rsidRPr="00E57270">
        <w:rPr>
          <w:rFonts w:ascii="Times New Roman" w:hAnsi="Times New Roman"/>
          <w:color w:val="000000"/>
          <w:sz w:val="28"/>
          <w:szCs w:val="28"/>
        </w:rPr>
        <w:t>«Про банки і банківську діяльність», а також до Закону України «Про платіжні послуги», який було прийнято Верховною Радою України 30 червня цього року, і через рік після набрання ним чинності буде введено в дію замість Закону України «Про платіжні системи та переказ коштів в Україні».</w:t>
      </w:r>
    </w:p>
    <w:p w14:paraId="7D239CD8" w14:textId="77777777" w:rsidR="0008773D" w:rsidRDefault="0008773D" w:rsidP="008610FD">
      <w:pPr>
        <w:pStyle w:val="aa"/>
        <w:spacing w:before="120"/>
        <w:ind w:firstLine="709"/>
        <w:jc w:val="both"/>
        <w:rPr>
          <w:rFonts w:ascii="Times New Roman" w:hAnsi="Times New Roman"/>
          <w:color w:val="000000"/>
          <w:sz w:val="28"/>
          <w:szCs w:val="28"/>
        </w:rPr>
      </w:pPr>
      <w:r>
        <w:rPr>
          <w:rFonts w:ascii="Times New Roman" w:hAnsi="Times New Roman"/>
          <w:color w:val="000000"/>
          <w:sz w:val="28"/>
          <w:szCs w:val="28"/>
        </w:rPr>
        <w:t>Змінами до</w:t>
      </w:r>
      <w:r w:rsidRPr="00007194">
        <w:rPr>
          <w:rFonts w:ascii="Times New Roman" w:hAnsi="Times New Roman"/>
          <w:sz w:val="28"/>
          <w:szCs w:val="28"/>
        </w:rPr>
        <w:t xml:space="preserve"> </w:t>
      </w:r>
      <w:r w:rsidRPr="00007194">
        <w:rPr>
          <w:rFonts w:ascii="Times New Roman" w:hAnsi="Times New Roman" w:cs="Times New Roman"/>
          <w:sz w:val="28"/>
          <w:szCs w:val="28"/>
        </w:rPr>
        <w:t>Закону України «Про платіжні системи та переказ коштів в Україні»</w:t>
      </w:r>
      <w:r>
        <w:rPr>
          <w:rFonts w:ascii="Times New Roman" w:hAnsi="Times New Roman" w:cs="Times New Roman"/>
          <w:sz w:val="28"/>
          <w:szCs w:val="28"/>
        </w:rPr>
        <w:t xml:space="preserve"> та, відповідно, до Закону України «Про платіжні послуги» </w:t>
      </w:r>
      <w:r>
        <w:rPr>
          <w:rFonts w:ascii="Times New Roman" w:hAnsi="Times New Roman"/>
          <w:color w:val="000000"/>
          <w:sz w:val="28"/>
          <w:szCs w:val="28"/>
        </w:rPr>
        <w:t>пропонується:</w:t>
      </w:r>
    </w:p>
    <w:p w14:paraId="5A450CC5" w14:textId="77777777" w:rsidR="0008773D" w:rsidRDefault="0008773D" w:rsidP="008610FD">
      <w:pPr>
        <w:pStyle w:val="aa"/>
        <w:numPr>
          <w:ilvl w:val="0"/>
          <w:numId w:val="3"/>
        </w:numPr>
        <w:spacing w:before="120"/>
        <w:ind w:left="0" w:firstLine="709"/>
        <w:jc w:val="both"/>
        <w:rPr>
          <w:rFonts w:ascii="Times New Roman" w:hAnsi="Times New Roman"/>
          <w:sz w:val="28"/>
          <w:szCs w:val="28"/>
        </w:rPr>
      </w:pPr>
      <w:r>
        <w:rPr>
          <w:rFonts w:ascii="Times New Roman" w:hAnsi="Times New Roman"/>
          <w:color w:val="000000"/>
          <w:sz w:val="28"/>
          <w:szCs w:val="28"/>
        </w:rPr>
        <w:t>закріпити визначення поняття «</w:t>
      </w:r>
      <w:r w:rsidRPr="00451B4D">
        <w:rPr>
          <w:rFonts w:ascii="Times New Roman" w:hAnsi="Times New Roman"/>
          <w:sz w:val="28"/>
          <w:szCs w:val="28"/>
        </w:rPr>
        <w:t>комісійна винагорода за інтерчейндж</w:t>
      </w:r>
      <w:r>
        <w:rPr>
          <w:rFonts w:ascii="Times New Roman" w:hAnsi="Times New Roman"/>
          <w:sz w:val="28"/>
          <w:szCs w:val="28"/>
        </w:rPr>
        <w:t>»;</w:t>
      </w:r>
    </w:p>
    <w:p w14:paraId="2607B69D" w14:textId="77777777" w:rsidR="0008773D" w:rsidRDefault="0008773D" w:rsidP="008610FD">
      <w:pPr>
        <w:pStyle w:val="aa"/>
        <w:numPr>
          <w:ilvl w:val="0"/>
          <w:numId w:val="3"/>
        </w:numPr>
        <w:spacing w:before="120"/>
        <w:ind w:left="0" w:firstLine="709"/>
        <w:jc w:val="both"/>
        <w:rPr>
          <w:rFonts w:ascii="Times New Roman" w:hAnsi="Times New Roman"/>
          <w:sz w:val="28"/>
          <w:szCs w:val="28"/>
        </w:rPr>
      </w:pPr>
      <w:r>
        <w:rPr>
          <w:rFonts w:ascii="Times New Roman" w:hAnsi="Times New Roman"/>
          <w:sz w:val="28"/>
          <w:szCs w:val="28"/>
        </w:rPr>
        <w:t>встановити, що к</w:t>
      </w:r>
      <w:r w:rsidRPr="00451B4D">
        <w:rPr>
          <w:rFonts w:ascii="Times New Roman" w:hAnsi="Times New Roman"/>
          <w:sz w:val="28"/>
          <w:szCs w:val="28"/>
        </w:rPr>
        <w:t>омісійна винагорода за інтерчейндж включає будь-яку узгоджену винагороду (компенсацію, еквівалентну комісійній винагороді за інтерчейндж за предметом або дією), яку отримує емітент, еквайр або будь-який інший посередник у зв’язку з платіжними операціями або пов’язаною діяльністю</w:t>
      </w:r>
      <w:r>
        <w:rPr>
          <w:rFonts w:ascii="Times New Roman" w:hAnsi="Times New Roman"/>
          <w:sz w:val="28"/>
          <w:szCs w:val="28"/>
        </w:rPr>
        <w:t>;</w:t>
      </w:r>
    </w:p>
    <w:p w14:paraId="10F55EBC" w14:textId="77777777" w:rsidR="0008773D" w:rsidRPr="00A30CEB" w:rsidRDefault="0008773D" w:rsidP="008610FD">
      <w:pPr>
        <w:pStyle w:val="aa"/>
        <w:numPr>
          <w:ilvl w:val="0"/>
          <w:numId w:val="3"/>
        </w:numPr>
        <w:spacing w:before="120"/>
        <w:ind w:left="0" w:firstLine="709"/>
        <w:jc w:val="both"/>
        <w:rPr>
          <w:rFonts w:ascii="Times New Roman" w:hAnsi="Times New Roman"/>
          <w:sz w:val="28"/>
          <w:szCs w:val="28"/>
        </w:rPr>
      </w:pPr>
      <w:r>
        <w:rPr>
          <w:rFonts w:ascii="Times New Roman" w:hAnsi="Times New Roman"/>
          <w:sz w:val="28"/>
          <w:szCs w:val="28"/>
        </w:rPr>
        <w:t>закріпити поступовий перехід до встановленого законодавством ЄС розміру комісійної винагороди за інтерчейндж, за яким встановити,</w:t>
      </w:r>
      <w:r w:rsidRPr="00A30CEB">
        <w:rPr>
          <w:rFonts w:ascii="Times New Roman" w:hAnsi="Times New Roman"/>
          <w:color w:val="000000"/>
          <w:sz w:val="28"/>
          <w:szCs w:val="28"/>
          <w:shd w:val="clear" w:color="auto" w:fill="FFFFFF"/>
        </w:rPr>
        <w:t xml:space="preserve"> що розмір комісійної винагороди за інтерчейндж, не може перевищувати:</w:t>
      </w:r>
    </w:p>
    <w:p w14:paraId="30400087" w14:textId="77777777" w:rsidR="0008773D" w:rsidRPr="00F31010" w:rsidRDefault="0008773D" w:rsidP="008610FD">
      <w:pPr>
        <w:pStyle w:val="a3"/>
        <w:spacing w:before="120" w:after="0" w:line="240" w:lineRule="auto"/>
        <w:ind w:left="1069"/>
        <w:jc w:val="both"/>
        <w:rPr>
          <w:rFonts w:ascii="Times New Roman" w:hAnsi="Times New Roman"/>
          <w:color w:val="000000"/>
          <w:sz w:val="28"/>
          <w:szCs w:val="28"/>
          <w:shd w:val="clear" w:color="auto" w:fill="FFFFFF"/>
        </w:rPr>
      </w:pPr>
      <w:r w:rsidRPr="00F31010">
        <w:rPr>
          <w:rFonts w:ascii="Times New Roman" w:hAnsi="Times New Roman"/>
          <w:color w:val="000000"/>
          <w:sz w:val="28"/>
          <w:szCs w:val="28"/>
          <w:shd w:val="clear" w:color="auto" w:fill="FFFFFF"/>
        </w:rPr>
        <w:t>з</w:t>
      </w:r>
      <w:r>
        <w:rPr>
          <w:rFonts w:ascii="Times New Roman" w:hAnsi="Times New Roman"/>
          <w:color w:val="000000"/>
          <w:sz w:val="28"/>
          <w:szCs w:val="28"/>
          <w:shd w:val="clear" w:color="auto" w:fill="FFFFFF"/>
        </w:rPr>
        <w:t xml:space="preserve"> 1 січня 2022 року</w:t>
      </w:r>
      <w:r w:rsidRPr="00F31010">
        <w:rPr>
          <w:rFonts w:ascii="Times New Roman" w:hAnsi="Times New Roman"/>
          <w:color w:val="000000"/>
          <w:sz w:val="28"/>
          <w:szCs w:val="28"/>
          <w:shd w:val="clear" w:color="auto" w:fill="FFFFFF"/>
        </w:rPr>
        <w:t xml:space="preserve"> до 31 грудня 2022 року – 1%;</w:t>
      </w:r>
    </w:p>
    <w:p w14:paraId="226117A8" w14:textId="77777777" w:rsidR="0008773D" w:rsidRPr="00F31010" w:rsidRDefault="0008773D" w:rsidP="008610FD">
      <w:pPr>
        <w:pStyle w:val="a3"/>
        <w:spacing w:before="120" w:after="0" w:line="240" w:lineRule="auto"/>
        <w:ind w:left="1069"/>
        <w:jc w:val="both"/>
        <w:rPr>
          <w:rFonts w:ascii="Times New Roman" w:hAnsi="Times New Roman"/>
          <w:color w:val="000000"/>
          <w:sz w:val="28"/>
          <w:szCs w:val="28"/>
          <w:shd w:val="clear" w:color="auto" w:fill="FFFFFF"/>
        </w:rPr>
      </w:pPr>
      <w:r w:rsidRPr="00F31010">
        <w:rPr>
          <w:rFonts w:ascii="Times New Roman" w:hAnsi="Times New Roman"/>
          <w:color w:val="000000"/>
          <w:sz w:val="28"/>
          <w:szCs w:val="28"/>
          <w:shd w:val="clear" w:color="auto" w:fill="FFFFFF"/>
        </w:rPr>
        <w:t>з 1 січня 2023 року до 31 грудня 2023 року – 0,7%;</w:t>
      </w:r>
    </w:p>
    <w:p w14:paraId="01D54EFE" w14:textId="77777777" w:rsidR="0008773D" w:rsidRDefault="0008773D" w:rsidP="008610FD">
      <w:pPr>
        <w:pStyle w:val="a3"/>
        <w:spacing w:before="120" w:after="0" w:line="240" w:lineRule="auto"/>
        <w:ind w:left="1069"/>
        <w:jc w:val="both"/>
        <w:rPr>
          <w:rFonts w:ascii="Times New Roman" w:hAnsi="Times New Roman"/>
          <w:color w:val="000000"/>
          <w:sz w:val="28"/>
          <w:szCs w:val="28"/>
          <w:shd w:val="clear" w:color="auto" w:fill="FFFFFF"/>
        </w:rPr>
      </w:pPr>
      <w:r w:rsidRPr="00F31010">
        <w:rPr>
          <w:rFonts w:ascii="Times New Roman" w:hAnsi="Times New Roman"/>
          <w:color w:val="000000"/>
          <w:sz w:val="28"/>
          <w:szCs w:val="28"/>
          <w:shd w:val="clear" w:color="auto" w:fill="FFFFFF"/>
        </w:rPr>
        <w:t>з 1 січня 2024 року д</w:t>
      </w:r>
      <w:r>
        <w:rPr>
          <w:rFonts w:ascii="Times New Roman" w:hAnsi="Times New Roman"/>
          <w:color w:val="000000"/>
          <w:sz w:val="28"/>
          <w:szCs w:val="28"/>
          <w:shd w:val="clear" w:color="auto" w:fill="FFFFFF"/>
        </w:rPr>
        <w:t>о 31 грудня 2024 року – 0,5%;</w:t>
      </w:r>
    </w:p>
    <w:p w14:paraId="6F441A45" w14:textId="77777777" w:rsidR="0008773D" w:rsidRDefault="0008773D" w:rsidP="008610FD">
      <w:pPr>
        <w:pStyle w:val="aa"/>
        <w:numPr>
          <w:ilvl w:val="0"/>
          <w:numId w:val="3"/>
        </w:numPr>
        <w:spacing w:before="120"/>
        <w:ind w:left="0" w:firstLine="709"/>
        <w:jc w:val="both"/>
        <w:rPr>
          <w:rFonts w:ascii="Times New Roman" w:hAnsi="Times New Roman"/>
          <w:sz w:val="28"/>
          <w:szCs w:val="28"/>
        </w:rPr>
      </w:pPr>
      <w:r>
        <w:rPr>
          <w:rFonts w:ascii="Times New Roman" w:hAnsi="Times New Roman"/>
          <w:sz w:val="28"/>
          <w:szCs w:val="28"/>
        </w:rPr>
        <w:lastRenderedPageBreak/>
        <w:t>закріпити, що р</w:t>
      </w:r>
      <w:r w:rsidRPr="00451B4D">
        <w:rPr>
          <w:rFonts w:ascii="Times New Roman" w:hAnsi="Times New Roman"/>
          <w:sz w:val="28"/>
          <w:szCs w:val="28"/>
        </w:rPr>
        <w:t>озмір комісійної винагороди за інтерчейндж</w:t>
      </w:r>
      <w:r>
        <w:rPr>
          <w:rFonts w:ascii="Times New Roman" w:hAnsi="Times New Roman"/>
          <w:sz w:val="28"/>
          <w:szCs w:val="28"/>
        </w:rPr>
        <w:t xml:space="preserve"> з </w:t>
      </w:r>
      <w:r>
        <w:rPr>
          <w:rFonts w:ascii="Times New Roman" w:hAnsi="Times New Roman"/>
          <w:sz w:val="28"/>
          <w:szCs w:val="28"/>
        </w:rPr>
        <w:br/>
        <w:t>1 січня 2025 року</w:t>
      </w:r>
      <w:r w:rsidRPr="00451B4D">
        <w:rPr>
          <w:rFonts w:ascii="Times New Roman" w:hAnsi="Times New Roman"/>
          <w:sz w:val="28"/>
          <w:szCs w:val="28"/>
        </w:rPr>
        <w:t xml:space="preserve"> не може перевищувати відносно суми операції, здійсненої з використанням дебетової платіжної картки – 0,2%, з використанням кр</w:t>
      </w:r>
      <w:r>
        <w:rPr>
          <w:rFonts w:ascii="Times New Roman" w:hAnsi="Times New Roman"/>
          <w:sz w:val="28"/>
          <w:szCs w:val="28"/>
        </w:rPr>
        <w:t>едитної платіжної картки – 0,3%;</w:t>
      </w:r>
    </w:p>
    <w:p w14:paraId="22B0CB85" w14:textId="77777777" w:rsidR="0008773D" w:rsidRDefault="0008773D" w:rsidP="008610FD">
      <w:pPr>
        <w:pStyle w:val="aa"/>
        <w:numPr>
          <w:ilvl w:val="0"/>
          <w:numId w:val="3"/>
        </w:numPr>
        <w:spacing w:before="120"/>
        <w:ind w:left="0" w:firstLine="709"/>
        <w:jc w:val="both"/>
        <w:rPr>
          <w:rFonts w:ascii="Times New Roman" w:hAnsi="Times New Roman"/>
          <w:sz w:val="28"/>
          <w:szCs w:val="28"/>
        </w:rPr>
      </w:pPr>
      <w:r>
        <w:rPr>
          <w:rFonts w:ascii="Times New Roman" w:hAnsi="Times New Roman"/>
          <w:sz w:val="28"/>
          <w:szCs w:val="28"/>
        </w:rPr>
        <w:t>запровадити відповідальність за</w:t>
      </w:r>
      <w:r w:rsidRPr="00CD32D3">
        <w:rPr>
          <w:rFonts w:ascii="Times New Roman" w:hAnsi="Times New Roman"/>
          <w:sz w:val="28"/>
          <w:szCs w:val="28"/>
        </w:rPr>
        <w:t xml:space="preserve"> перевищення встановлених граничних розмірів комісійної винагороди за інтерчейндж</w:t>
      </w:r>
      <w:r>
        <w:rPr>
          <w:rFonts w:ascii="Times New Roman" w:hAnsi="Times New Roman"/>
          <w:sz w:val="28"/>
          <w:szCs w:val="28"/>
        </w:rPr>
        <w:t>;</w:t>
      </w:r>
    </w:p>
    <w:p w14:paraId="737C80DC" w14:textId="77777777" w:rsidR="0008773D" w:rsidRDefault="0008773D" w:rsidP="008610FD">
      <w:pPr>
        <w:pStyle w:val="aa"/>
        <w:numPr>
          <w:ilvl w:val="0"/>
          <w:numId w:val="3"/>
        </w:numPr>
        <w:spacing w:before="120"/>
        <w:ind w:left="0" w:firstLine="709"/>
        <w:jc w:val="both"/>
        <w:rPr>
          <w:rFonts w:ascii="Times New Roman" w:hAnsi="Times New Roman"/>
          <w:sz w:val="28"/>
          <w:szCs w:val="28"/>
        </w:rPr>
      </w:pPr>
      <w:r>
        <w:rPr>
          <w:rFonts w:ascii="Times New Roman" w:hAnsi="Times New Roman"/>
          <w:sz w:val="28"/>
          <w:szCs w:val="28"/>
        </w:rPr>
        <w:t>встановити, що п</w:t>
      </w:r>
      <w:r w:rsidRPr="00451B4D">
        <w:rPr>
          <w:rFonts w:ascii="Times New Roman" w:hAnsi="Times New Roman"/>
          <w:sz w:val="28"/>
          <w:szCs w:val="28"/>
        </w:rPr>
        <w:t>орядок контролю додержання граничного розміру комісійної винагороди за інтерчейндж при здійсненні безготівкових розрахунків, встановлення фактів порушень і застосування штрафних санкцій, визначених частиною третьою цієї статті, встановлюється нормативно-правовими акта</w:t>
      </w:r>
      <w:r>
        <w:rPr>
          <w:rFonts w:ascii="Times New Roman" w:hAnsi="Times New Roman"/>
          <w:sz w:val="28"/>
          <w:szCs w:val="28"/>
        </w:rPr>
        <w:t>ми Національного банку України.</w:t>
      </w:r>
    </w:p>
    <w:p w14:paraId="0A686612" w14:textId="77777777" w:rsidR="0008773D" w:rsidRDefault="0008773D" w:rsidP="008610FD">
      <w:pPr>
        <w:pStyle w:val="aa"/>
        <w:spacing w:before="120"/>
        <w:ind w:firstLine="709"/>
        <w:jc w:val="both"/>
        <w:rPr>
          <w:rFonts w:ascii="Times New Roman" w:hAnsi="Times New Roman"/>
          <w:sz w:val="28"/>
          <w:szCs w:val="28"/>
        </w:rPr>
      </w:pPr>
      <w:r>
        <w:rPr>
          <w:rFonts w:ascii="Times New Roman" w:hAnsi="Times New Roman"/>
          <w:sz w:val="28"/>
          <w:szCs w:val="28"/>
        </w:rPr>
        <w:t xml:space="preserve">Змінами до </w:t>
      </w:r>
      <w:r w:rsidRPr="00CD32D3">
        <w:rPr>
          <w:rFonts w:ascii="Times New Roman" w:hAnsi="Times New Roman"/>
          <w:sz w:val="28"/>
          <w:szCs w:val="28"/>
        </w:rPr>
        <w:t>Закону України «Про банки і банківську діяльність»</w:t>
      </w:r>
      <w:r>
        <w:rPr>
          <w:rFonts w:ascii="Times New Roman" w:hAnsi="Times New Roman"/>
          <w:sz w:val="28"/>
          <w:szCs w:val="28"/>
        </w:rPr>
        <w:t xml:space="preserve"> пропонується встановити, що </w:t>
      </w:r>
      <w:r>
        <w:rPr>
          <w:rFonts w:ascii="Times New Roman" w:hAnsi="Times New Roman"/>
          <w:color w:val="000000"/>
          <w:sz w:val="28"/>
          <w:szCs w:val="28"/>
        </w:rPr>
        <w:t>б</w:t>
      </w:r>
      <w:r w:rsidRPr="00CD32D3">
        <w:rPr>
          <w:rFonts w:ascii="Times New Roman" w:hAnsi="Times New Roman"/>
          <w:color w:val="000000"/>
          <w:sz w:val="28"/>
          <w:szCs w:val="28"/>
        </w:rPr>
        <w:t>анк самостійно встановлює процентні ставки та комісійну винагороду за надані послуги, крім встановлених законом розмірів комі</w:t>
      </w:r>
      <w:r>
        <w:rPr>
          <w:rFonts w:ascii="Times New Roman" w:hAnsi="Times New Roman"/>
          <w:color w:val="000000"/>
          <w:sz w:val="28"/>
          <w:szCs w:val="28"/>
        </w:rPr>
        <w:t>сійних винагород за інтерчейндж</w:t>
      </w:r>
      <w:r w:rsidRPr="00CD32D3">
        <w:rPr>
          <w:rFonts w:ascii="Times New Roman" w:hAnsi="Times New Roman"/>
          <w:color w:val="000000"/>
          <w:sz w:val="28"/>
          <w:szCs w:val="28"/>
        </w:rPr>
        <w:t>.</w:t>
      </w:r>
      <w:r w:rsidRPr="00CD32D3">
        <w:rPr>
          <w:b/>
          <w:color w:val="00B050"/>
          <w:sz w:val="28"/>
          <w:szCs w:val="28"/>
          <w:lang w:val="ru-RU"/>
        </w:rPr>
        <w:t xml:space="preserve"> </w:t>
      </w:r>
    </w:p>
    <w:p w14:paraId="6220749D" w14:textId="77777777" w:rsidR="0008773D" w:rsidRPr="00AB167F" w:rsidRDefault="0008773D" w:rsidP="008610FD">
      <w:pPr>
        <w:pStyle w:val="aa"/>
        <w:spacing w:before="120"/>
        <w:ind w:firstLine="709"/>
        <w:jc w:val="both"/>
        <w:rPr>
          <w:rFonts w:ascii="Times New Roman" w:hAnsi="Times New Roman"/>
          <w:sz w:val="28"/>
          <w:szCs w:val="28"/>
        </w:rPr>
      </w:pPr>
      <w:r>
        <w:rPr>
          <w:rFonts w:ascii="Times New Roman" w:hAnsi="Times New Roman"/>
          <w:sz w:val="28"/>
          <w:szCs w:val="28"/>
        </w:rPr>
        <w:t xml:space="preserve">Пропонується передбачити, що </w:t>
      </w:r>
      <w:r w:rsidRPr="00451B4D">
        <w:rPr>
          <w:rFonts w:ascii="Times New Roman" w:hAnsi="Times New Roman"/>
          <w:color w:val="000000"/>
          <w:sz w:val="28"/>
          <w:szCs w:val="28"/>
          <w:shd w:val="clear" w:color="auto" w:fill="FFFFFF"/>
        </w:rPr>
        <w:t xml:space="preserve">Закон набирає чинності </w:t>
      </w:r>
      <w:r w:rsidRPr="00AB167F">
        <w:rPr>
          <w:rFonts w:ascii="Times New Roman" w:hAnsi="Times New Roman"/>
          <w:color w:val="000000"/>
          <w:sz w:val="28"/>
          <w:szCs w:val="28"/>
          <w:shd w:val="clear" w:color="auto" w:fill="FFFFFF"/>
        </w:rPr>
        <w:t xml:space="preserve">та вводиться в дію </w:t>
      </w:r>
      <w:r w:rsidRPr="00451B4D">
        <w:rPr>
          <w:rFonts w:ascii="Times New Roman" w:hAnsi="Times New Roman"/>
          <w:color w:val="000000"/>
          <w:sz w:val="28"/>
          <w:szCs w:val="28"/>
          <w:shd w:val="clear" w:color="auto" w:fill="FFFFFF"/>
        </w:rPr>
        <w:t>з дня, наступного за днем його опублікування, крім пункту 3 Розділу І цього Закону</w:t>
      </w:r>
      <w:r>
        <w:rPr>
          <w:rFonts w:ascii="Times New Roman" w:hAnsi="Times New Roman"/>
          <w:color w:val="000000"/>
          <w:sz w:val="28"/>
          <w:szCs w:val="28"/>
          <w:shd w:val="clear" w:color="auto" w:fill="FFFFFF"/>
        </w:rPr>
        <w:t xml:space="preserve"> (зміни до Закону України «Про платіжні послуги)</w:t>
      </w:r>
      <w:r w:rsidRPr="00451B4D">
        <w:rPr>
          <w:rFonts w:ascii="Times New Roman" w:hAnsi="Times New Roman"/>
          <w:color w:val="000000"/>
          <w:sz w:val="28"/>
          <w:szCs w:val="28"/>
          <w:shd w:val="clear" w:color="auto" w:fill="FFFFFF"/>
        </w:rPr>
        <w:t xml:space="preserve">, що набирає чинності одночасно з введенням в дію Закону України «Про платіжні послуги». </w:t>
      </w:r>
    </w:p>
    <w:p w14:paraId="12268E18" w14:textId="77777777" w:rsidR="0008773D" w:rsidRDefault="0008773D" w:rsidP="008610FD">
      <w:pPr>
        <w:pStyle w:val="aa"/>
        <w:spacing w:before="120"/>
        <w:ind w:firstLine="709"/>
        <w:jc w:val="both"/>
        <w:rPr>
          <w:rFonts w:ascii="Times New Roman" w:hAnsi="Times New Roman" w:cs="Times New Roman"/>
          <w:color w:val="000000"/>
          <w:sz w:val="28"/>
          <w:szCs w:val="28"/>
        </w:rPr>
      </w:pPr>
    </w:p>
    <w:p w14:paraId="6C25E723" w14:textId="77777777" w:rsidR="0008773D" w:rsidRDefault="0008773D" w:rsidP="008610FD">
      <w:pPr>
        <w:spacing w:before="120" w:after="0" w:line="240" w:lineRule="auto"/>
        <w:ind w:firstLine="709"/>
        <w:jc w:val="both"/>
        <w:rPr>
          <w:rFonts w:ascii="Times New Roman" w:hAnsi="Times New Roman"/>
          <w:b/>
          <w:bCs/>
          <w:sz w:val="28"/>
          <w:szCs w:val="28"/>
        </w:rPr>
      </w:pPr>
      <w:r>
        <w:rPr>
          <w:rFonts w:ascii="Times New Roman" w:hAnsi="Times New Roman"/>
          <w:b/>
          <w:bCs/>
          <w:sz w:val="28"/>
          <w:szCs w:val="28"/>
        </w:rPr>
        <w:t>4. Стан нормативно-правової бази у даній сфері правового регулювання</w:t>
      </w:r>
    </w:p>
    <w:p w14:paraId="408A8C86" w14:textId="4F4410A4" w:rsidR="00306376" w:rsidRDefault="0008773D"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У даній сфері правового регулювання діють Закон України «Про платіжні системи та переказ коштів в Україні», Закон України «Про банки і банківську діяльність», Закон України «Про фінансові послуги та державне регулювання ринків фінансових послуг».</w:t>
      </w:r>
    </w:p>
    <w:p w14:paraId="1E3DD709" w14:textId="77777777" w:rsidR="00306376" w:rsidRDefault="00306376" w:rsidP="008610FD">
      <w:pPr>
        <w:pStyle w:val="HTML"/>
        <w:shd w:val="clear" w:color="auto" w:fill="FFFFFF"/>
        <w:spacing w:before="120"/>
        <w:ind w:firstLine="709"/>
        <w:jc w:val="both"/>
        <w:textAlignment w:val="baseline"/>
        <w:rPr>
          <w:rFonts w:ascii="Times New Roman" w:hAnsi="Times New Roman" w:cs="Times New Roman"/>
          <w:b/>
          <w:bCs/>
          <w:sz w:val="28"/>
          <w:szCs w:val="28"/>
          <w:lang w:val="uk-UA" w:eastAsia="uk-UA"/>
        </w:rPr>
      </w:pPr>
    </w:p>
    <w:p w14:paraId="456F2C64" w14:textId="77777777" w:rsidR="00306376" w:rsidRDefault="00F0066F" w:rsidP="008610FD">
      <w:pPr>
        <w:pStyle w:val="HTML"/>
        <w:shd w:val="clear" w:color="auto" w:fill="FFFFFF"/>
        <w:spacing w:before="120"/>
        <w:ind w:firstLine="709"/>
        <w:jc w:val="both"/>
        <w:textAlignment w:val="baseline"/>
        <w:rPr>
          <w:rFonts w:ascii="Times New Roman" w:hAnsi="Times New Roman" w:cs="Times New Roman"/>
          <w:b/>
          <w:bCs/>
          <w:sz w:val="28"/>
          <w:szCs w:val="28"/>
          <w:lang w:val="uk-UA" w:eastAsia="uk-UA"/>
        </w:rPr>
      </w:pPr>
      <w:r>
        <w:rPr>
          <w:rFonts w:ascii="Times New Roman" w:hAnsi="Times New Roman" w:cs="Times New Roman"/>
          <w:b/>
          <w:bCs/>
          <w:sz w:val="28"/>
          <w:szCs w:val="28"/>
          <w:lang w:val="uk-UA" w:eastAsia="uk-UA"/>
        </w:rPr>
        <w:t>5. Фінансово-економічне обґрунтування</w:t>
      </w:r>
    </w:p>
    <w:p w14:paraId="5506D40A" w14:textId="77777777"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Прийняття законопроекту не потребує додаткових витрат з Державного бюджету України.</w:t>
      </w:r>
    </w:p>
    <w:p w14:paraId="02016A10" w14:textId="013F3CAC"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Безпідставними, також, є припущення про можливість виникнення додаткового фінансового навантаження на держбюджет у зв’язку з необхідністю докапіталізації державних банків, які обслуговують більшу частку карткових оборотів,</w:t>
      </w:r>
      <w:r>
        <w:rPr>
          <w:sz w:val="28"/>
          <w:szCs w:val="28"/>
        </w:rPr>
        <w:t xml:space="preserve"> </w:t>
      </w:r>
      <w:r>
        <w:rPr>
          <w:rFonts w:ascii="Times New Roman" w:hAnsi="Times New Roman" w:cs="Times New Roman"/>
          <w:sz w:val="28"/>
          <w:szCs w:val="28"/>
        </w:rPr>
        <w:t>внаслідок щорічного недоотримання цими банками мільярдів гр</w:t>
      </w:r>
      <w:r w:rsidR="004C02A1">
        <w:rPr>
          <w:rFonts w:ascii="Times New Roman" w:hAnsi="Times New Roman" w:cs="Times New Roman"/>
          <w:sz w:val="28"/>
          <w:szCs w:val="28"/>
        </w:rPr>
        <w:t>иве</w:t>
      </w:r>
      <w:r>
        <w:rPr>
          <w:rFonts w:ascii="Times New Roman" w:hAnsi="Times New Roman" w:cs="Times New Roman"/>
          <w:sz w:val="28"/>
          <w:szCs w:val="28"/>
        </w:rPr>
        <w:t>н</w:t>
      </w:r>
      <w:r w:rsidR="004C02A1">
        <w:rPr>
          <w:rFonts w:ascii="Times New Roman" w:hAnsi="Times New Roman" w:cs="Times New Roman"/>
          <w:sz w:val="28"/>
          <w:szCs w:val="28"/>
        </w:rPr>
        <w:t>ь</w:t>
      </w:r>
      <w:r>
        <w:rPr>
          <w:rFonts w:ascii="Times New Roman" w:hAnsi="Times New Roman" w:cs="Times New Roman"/>
          <w:sz w:val="28"/>
          <w:szCs w:val="28"/>
        </w:rPr>
        <w:t xml:space="preserve"> комісії, оскільки:</w:t>
      </w:r>
    </w:p>
    <w:p w14:paraId="0B4EA6E8" w14:textId="505FE50D"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 ринок безготівкових розрахунків достатньо динамічно зростає в Україні саме внаслідок зростання попиту громадян на послуги проведення безготівкових розрахунків і активніш</w:t>
      </w:r>
      <w:r w:rsidR="00800038">
        <w:rPr>
          <w:rFonts w:ascii="Times New Roman" w:hAnsi="Times New Roman" w:cs="Times New Roman"/>
          <w:sz w:val="28"/>
          <w:szCs w:val="28"/>
        </w:rPr>
        <w:t>ого</w:t>
      </w:r>
      <w:r>
        <w:rPr>
          <w:rFonts w:ascii="Times New Roman" w:hAnsi="Times New Roman" w:cs="Times New Roman"/>
          <w:sz w:val="28"/>
          <w:szCs w:val="28"/>
        </w:rPr>
        <w:t xml:space="preserve"> використ</w:t>
      </w:r>
      <w:r w:rsidR="00800038">
        <w:rPr>
          <w:rFonts w:ascii="Times New Roman" w:hAnsi="Times New Roman" w:cs="Times New Roman"/>
          <w:sz w:val="28"/>
          <w:szCs w:val="28"/>
        </w:rPr>
        <w:t>ання ними</w:t>
      </w:r>
      <w:r>
        <w:rPr>
          <w:rFonts w:ascii="Times New Roman" w:hAnsi="Times New Roman" w:cs="Times New Roman"/>
          <w:sz w:val="28"/>
          <w:szCs w:val="28"/>
        </w:rPr>
        <w:t xml:space="preserve"> платіжн</w:t>
      </w:r>
      <w:r w:rsidR="00800038">
        <w:rPr>
          <w:rFonts w:ascii="Times New Roman" w:hAnsi="Times New Roman" w:cs="Times New Roman"/>
          <w:sz w:val="28"/>
          <w:szCs w:val="28"/>
        </w:rPr>
        <w:t>их</w:t>
      </w:r>
      <w:r>
        <w:rPr>
          <w:rFonts w:ascii="Times New Roman" w:hAnsi="Times New Roman" w:cs="Times New Roman"/>
          <w:sz w:val="28"/>
          <w:szCs w:val="28"/>
        </w:rPr>
        <w:t xml:space="preserve"> карт</w:t>
      </w:r>
      <w:r w:rsidR="00800038">
        <w:rPr>
          <w:rFonts w:ascii="Times New Roman" w:hAnsi="Times New Roman" w:cs="Times New Roman"/>
          <w:sz w:val="28"/>
          <w:szCs w:val="28"/>
        </w:rPr>
        <w:t>о</w:t>
      </w:r>
      <w:r>
        <w:rPr>
          <w:rFonts w:ascii="Times New Roman" w:hAnsi="Times New Roman" w:cs="Times New Roman"/>
          <w:sz w:val="28"/>
          <w:szCs w:val="28"/>
        </w:rPr>
        <w:t>к. Тому, зростання обсягів та кількості безготівкових операцій гарантують банкам можливість заробляти на масштабі ринку, а не на підтриманні високої ціни на послуги еквайрингу;</w:t>
      </w:r>
    </w:p>
    <w:p w14:paraId="6365C382" w14:textId="7C4A351B" w:rsidR="00306376" w:rsidRDefault="00F0066F" w:rsidP="008610FD">
      <w:pPr>
        <w:pStyle w:val="aa"/>
        <w:spacing w:before="120"/>
        <w:ind w:firstLine="709"/>
        <w:jc w:val="both"/>
        <w:rPr>
          <w:rFonts w:ascii="Times New Roman" w:hAnsi="Times New Roman" w:cs="Times New Roman"/>
          <w:sz w:val="28"/>
          <w:szCs w:val="28"/>
        </w:rPr>
      </w:pPr>
      <w:r w:rsidRPr="00510D73">
        <w:rPr>
          <w:rFonts w:ascii="Times New Roman" w:hAnsi="Times New Roman" w:cs="Times New Roman"/>
          <w:sz w:val="28"/>
          <w:szCs w:val="28"/>
        </w:rPr>
        <w:lastRenderedPageBreak/>
        <w:t>- доходи операторів безготівкових розрахунків</w:t>
      </w:r>
      <w:r w:rsidR="00D478DD" w:rsidRPr="00510D73">
        <w:rPr>
          <w:rFonts w:ascii="Times New Roman" w:hAnsi="Times New Roman" w:cs="Times New Roman"/>
          <w:sz w:val="28"/>
          <w:szCs w:val="28"/>
        </w:rPr>
        <w:t xml:space="preserve"> від здійснення торгівельного еквайрингу у період з 2016 по 2020 рік зросли більш ніж вдвічі</w:t>
      </w:r>
      <w:r w:rsidRPr="00510D73">
        <w:rPr>
          <w:rFonts w:ascii="Times New Roman" w:hAnsi="Times New Roman" w:cs="Times New Roman"/>
          <w:sz w:val="28"/>
          <w:szCs w:val="28"/>
        </w:rPr>
        <w:t>, проте і у 2016-2017 роках (при вдвічі менших доходах)</w:t>
      </w:r>
      <w:r w:rsidRPr="00510D73">
        <w:rPr>
          <w:rFonts w:ascii="Times New Roman" w:hAnsi="Times New Roman" w:cs="Times New Roman"/>
          <w:color w:val="FF0000"/>
          <w:sz w:val="28"/>
          <w:szCs w:val="28"/>
        </w:rPr>
        <w:t xml:space="preserve"> </w:t>
      </w:r>
      <w:r w:rsidRPr="00510D73">
        <w:rPr>
          <w:rFonts w:ascii="Times New Roman" w:hAnsi="Times New Roman" w:cs="Times New Roman"/>
          <w:sz w:val="28"/>
          <w:szCs w:val="28"/>
        </w:rPr>
        <w:t>вказаний сегмент їх діяльності був не лише прибутковим, але й забезпечував достатньо ресурсів для інвестицій в інфраструктуру (яка</w:t>
      </w:r>
      <w:r w:rsidR="00D478DD" w:rsidRPr="00510D73">
        <w:rPr>
          <w:rFonts w:ascii="Times New Roman" w:hAnsi="Times New Roman" w:cs="Times New Roman"/>
          <w:sz w:val="28"/>
          <w:szCs w:val="28"/>
        </w:rPr>
        <w:t xml:space="preserve"> за останні 5 років також збільшилась </w:t>
      </w:r>
      <w:r w:rsidRPr="00510D73">
        <w:rPr>
          <w:rFonts w:ascii="Times New Roman" w:hAnsi="Times New Roman" w:cs="Times New Roman"/>
          <w:sz w:val="28"/>
          <w:szCs w:val="28"/>
        </w:rPr>
        <w:t xml:space="preserve">майже </w:t>
      </w:r>
      <w:r w:rsidR="00D478DD" w:rsidRPr="00510D73">
        <w:rPr>
          <w:rFonts w:ascii="Times New Roman" w:hAnsi="Times New Roman" w:cs="Times New Roman"/>
          <w:sz w:val="28"/>
          <w:szCs w:val="28"/>
        </w:rPr>
        <w:t>в</w:t>
      </w:r>
      <w:r w:rsidRPr="00510D73">
        <w:rPr>
          <w:rFonts w:ascii="Times New Roman" w:hAnsi="Times New Roman" w:cs="Times New Roman"/>
          <w:sz w:val="28"/>
          <w:szCs w:val="28"/>
        </w:rPr>
        <w:t>двічі);</w:t>
      </w:r>
    </w:p>
    <w:p w14:paraId="520A5005" w14:textId="61546A74" w:rsidR="00306376" w:rsidRDefault="00F0066F" w:rsidP="008610FD">
      <w:pPr>
        <w:pStyle w:val="aa"/>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 інвестиції банків у розвиток інфраструктури (мережі термінального обладнання, в т.ч. інновацій у цій сфері), у кінцевому результаті, здійснюються за рахунок торговців, які за власні кошти або купують, або орендують таке обладнання (зокрема, оренда одного </w:t>
      </w:r>
      <w:r>
        <w:rPr>
          <w:rFonts w:ascii="Times New Roman" w:hAnsi="Times New Roman" w:cs="Times New Roman"/>
          <w:sz w:val="28"/>
          <w:szCs w:val="28"/>
          <w:lang w:val="en-US"/>
        </w:rPr>
        <w:t>POS</w:t>
      </w:r>
      <w:r>
        <w:rPr>
          <w:rFonts w:ascii="Times New Roman" w:hAnsi="Times New Roman" w:cs="Times New Roman"/>
          <w:sz w:val="28"/>
          <w:szCs w:val="28"/>
        </w:rPr>
        <w:t xml:space="preserve">-терміналу коштує щомісяця додатково 300 грн., крім оплати торгівельного еквайрингу), що забезпечує швидке повернення відповідних банківських інвестицій (приблизно за 2 роки). Цей факт, також, повністю </w:t>
      </w:r>
      <w:r w:rsidR="00800038">
        <w:rPr>
          <w:rFonts w:ascii="Times New Roman" w:hAnsi="Times New Roman" w:cs="Times New Roman"/>
          <w:sz w:val="28"/>
          <w:szCs w:val="28"/>
        </w:rPr>
        <w:t xml:space="preserve">спростовує </w:t>
      </w:r>
      <w:r>
        <w:rPr>
          <w:rFonts w:ascii="Times New Roman" w:hAnsi="Times New Roman" w:cs="Times New Roman"/>
          <w:sz w:val="28"/>
          <w:szCs w:val="28"/>
        </w:rPr>
        <w:t xml:space="preserve">припущення про імовірність суттєвого зростання терміну окупності інвестицій у відповідну інфраструктуру, у разі законодавчого обмеження граничної вартості </w:t>
      </w:r>
      <w:r w:rsidR="00800038">
        <w:rPr>
          <w:rFonts w:ascii="Times New Roman" w:hAnsi="Times New Roman" w:cs="Times New Roman"/>
          <w:sz w:val="28"/>
          <w:szCs w:val="28"/>
        </w:rPr>
        <w:t>комісійної винагороди за інтерчейндж</w:t>
      </w:r>
      <w:r>
        <w:rPr>
          <w:rFonts w:ascii="Times New Roman" w:hAnsi="Times New Roman" w:cs="Times New Roman"/>
          <w:sz w:val="28"/>
          <w:szCs w:val="28"/>
        </w:rPr>
        <w:t xml:space="preserve"> в Україні.</w:t>
      </w:r>
    </w:p>
    <w:p w14:paraId="70ACBFC2" w14:textId="77777777" w:rsidR="00306376" w:rsidRDefault="00306376" w:rsidP="008610FD">
      <w:pPr>
        <w:spacing w:before="120" w:after="0" w:line="240" w:lineRule="auto"/>
        <w:ind w:firstLine="709"/>
        <w:jc w:val="both"/>
        <w:rPr>
          <w:rFonts w:ascii="Times New Roman" w:hAnsi="Times New Roman"/>
          <w:b/>
          <w:bCs/>
          <w:sz w:val="28"/>
          <w:szCs w:val="28"/>
        </w:rPr>
      </w:pPr>
    </w:p>
    <w:p w14:paraId="2E455D8E" w14:textId="77777777" w:rsidR="00306376" w:rsidRDefault="00F0066F" w:rsidP="008610FD">
      <w:pPr>
        <w:spacing w:before="120" w:after="0" w:line="240" w:lineRule="auto"/>
        <w:ind w:firstLine="709"/>
        <w:jc w:val="both"/>
        <w:rPr>
          <w:rFonts w:ascii="Times New Roman" w:hAnsi="Times New Roman"/>
          <w:b/>
          <w:bCs/>
          <w:sz w:val="28"/>
          <w:szCs w:val="28"/>
        </w:rPr>
      </w:pPr>
      <w:r>
        <w:rPr>
          <w:rFonts w:ascii="Times New Roman" w:hAnsi="Times New Roman"/>
          <w:b/>
          <w:bCs/>
          <w:sz w:val="28"/>
          <w:szCs w:val="28"/>
        </w:rPr>
        <w:t>6. Прогнозовані соціально-економічні та інші наслідки прийняття законопроекту</w:t>
      </w:r>
    </w:p>
    <w:p w14:paraId="631FCF36" w14:textId="77777777" w:rsidR="00306376" w:rsidRDefault="00F0066F" w:rsidP="008610FD">
      <w:pPr>
        <w:spacing w:before="120"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Прийняття проекту Закону України </w:t>
      </w:r>
      <w:r>
        <w:rPr>
          <w:rFonts w:ascii="Times New Roman" w:hAnsi="Times New Roman"/>
          <w:sz w:val="28"/>
          <w:szCs w:val="28"/>
        </w:rPr>
        <w:t xml:space="preserve">дозволить зменшити фінансове навантаження на суб’єктів господарювання та кінцевих споживачів їх товарів (робіт, послуг), сприятиме розвитку та відновленню економічного зростання в Україні. </w:t>
      </w:r>
    </w:p>
    <w:p w14:paraId="565D3E88" w14:textId="77777777" w:rsidR="00306376" w:rsidRDefault="00306376" w:rsidP="008610FD">
      <w:pPr>
        <w:spacing w:before="120" w:after="0" w:line="240" w:lineRule="auto"/>
        <w:ind w:firstLine="567"/>
        <w:jc w:val="both"/>
        <w:rPr>
          <w:rFonts w:ascii="Times New Roman" w:hAnsi="Times New Roman"/>
          <w:sz w:val="28"/>
          <w:szCs w:val="28"/>
        </w:rPr>
      </w:pPr>
    </w:p>
    <w:p w14:paraId="4CE37FB0" w14:textId="7D2323EB" w:rsidR="00306376" w:rsidRPr="00F0745E" w:rsidRDefault="00F0066F" w:rsidP="008610FD">
      <w:pPr>
        <w:spacing w:before="120" w:after="0" w:line="240" w:lineRule="auto"/>
        <w:ind w:firstLine="567"/>
        <w:jc w:val="both"/>
        <w:rPr>
          <w:rFonts w:ascii="Times New Roman" w:hAnsi="Times New Roman"/>
          <w:sz w:val="28"/>
          <w:szCs w:val="28"/>
        </w:rPr>
      </w:pPr>
      <w:r>
        <w:rPr>
          <w:rFonts w:ascii="Times New Roman" w:hAnsi="Times New Roman"/>
          <w:sz w:val="28"/>
          <w:szCs w:val="28"/>
        </w:rPr>
        <w:t>Народні депутати України                                            Мезенцева М.С. та ін.</w:t>
      </w:r>
    </w:p>
    <w:sectPr w:rsidR="00306376" w:rsidRPr="00F0745E">
      <w:footerReference w:type="default" r:id="rId1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EBAE5" w14:textId="77777777" w:rsidR="00392BFA" w:rsidRDefault="00392BFA">
      <w:pPr>
        <w:spacing w:after="0" w:line="240" w:lineRule="auto"/>
      </w:pPr>
      <w:r>
        <w:separator/>
      </w:r>
    </w:p>
  </w:endnote>
  <w:endnote w:type="continuationSeparator" w:id="0">
    <w:p w14:paraId="340CF1EB" w14:textId="77777777" w:rsidR="00392BFA" w:rsidRDefault="00392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453388"/>
      <w:docPartObj>
        <w:docPartGallery w:val="Page Numbers (Bottom of Page)"/>
        <w:docPartUnique/>
      </w:docPartObj>
    </w:sdtPr>
    <w:sdtEndPr>
      <w:rPr>
        <w:noProof/>
      </w:rPr>
    </w:sdtEndPr>
    <w:sdtContent>
      <w:p w14:paraId="01A6B64B" w14:textId="6E593861" w:rsidR="001B6B5F" w:rsidRDefault="001B6B5F">
        <w:pPr>
          <w:pStyle w:val="af4"/>
          <w:jc w:val="center"/>
        </w:pPr>
        <w:r>
          <w:fldChar w:fldCharType="begin"/>
        </w:r>
        <w:r>
          <w:instrText xml:space="preserve"> PAGE   \* MERGEFORMAT </w:instrText>
        </w:r>
        <w:r>
          <w:fldChar w:fldCharType="separate"/>
        </w:r>
        <w:r w:rsidR="00BB6821">
          <w:rPr>
            <w:noProof/>
          </w:rPr>
          <w:t>2</w:t>
        </w:r>
        <w:r>
          <w:rPr>
            <w:noProof/>
          </w:rPr>
          <w:fldChar w:fldCharType="end"/>
        </w:r>
      </w:p>
    </w:sdtContent>
  </w:sdt>
  <w:p w14:paraId="21A2076D" w14:textId="77777777" w:rsidR="001B6B5F" w:rsidRDefault="001B6B5F">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FE858" w14:textId="77777777" w:rsidR="00392BFA" w:rsidRDefault="00392BFA">
      <w:pPr>
        <w:spacing w:after="0" w:line="240" w:lineRule="auto"/>
      </w:pPr>
      <w:r>
        <w:separator/>
      </w:r>
    </w:p>
  </w:footnote>
  <w:footnote w:type="continuationSeparator" w:id="0">
    <w:p w14:paraId="752EBC2A" w14:textId="77777777" w:rsidR="00392BFA" w:rsidRDefault="00392BFA">
      <w:pPr>
        <w:spacing w:after="0" w:line="240" w:lineRule="auto"/>
      </w:pPr>
      <w:r>
        <w:continuationSeparator/>
      </w:r>
    </w:p>
  </w:footnote>
  <w:footnote w:id="1">
    <w:p w14:paraId="5E386321" w14:textId="453192FF" w:rsidR="001B2A6F" w:rsidRDefault="001B2A6F">
      <w:pPr>
        <w:pStyle w:val="a5"/>
      </w:pPr>
      <w:r>
        <w:rPr>
          <w:rStyle w:val="a7"/>
        </w:rPr>
        <w:footnoteRef/>
      </w:r>
      <w:r>
        <w:t xml:space="preserve"> </w:t>
      </w:r>
      <w:hyperlink r:id="rId1" w:history="1">
        <w:r w:rsidRPr="001E454A">
          <w:rPr>
            <w:rStyle w:val="a8"/>
            <w:rFonts w:cs="Calibri"/>
          </w:rPr>
          <w:t>https://bank.gov.ua/ua/news/all/osnovni-trendi-kartkovogo-rinku-u-2020-rotsi-bezkontaktni-plateji-ta-rozrahunki-v-interneti</w:t>
        </w:r>
      </w:hyperlink>
      <w:r>
        <w:t xml:space="preserve"> </w:t>
      </w:r>
    </w:p>
  </w:footnote>
  <w:footnote w:id="2">
    <w:p w14:paraId="14DA2476" w14:textId="77777777" w:rsidR="00306376" w:rsidRDefault="00F0066F">
      <w:pPr>
        <w:pStyle w:val="a5"/>
      </w:pPr>
      <w:r>
        <w:rPr>
          <w:rStyle w:val="a7"/>
        </w:rPr>
        <w:footnoteRef/>
      </w:r>
      <w:r>
        <w:t xml:space="preserve"> </w:t>
      </w:r>
      <w:hyperlink r:id="rId2" w:history="1">
        <w:r>
          <w:rPr>
            <w:rStyle w:val="a8"/>
          </w:rPr>
          <w:t>https://bank.gov.ua/doccatalog/document?id=31538042</w:t>
        </w:r>
      </w:hyperlink>
      <w:r>
        <w:t xml:space="preserve">; </w:t>
      </w:r>
      <w:hyperlink r:id="rId3" w:history="1">
        <w:r>
          <w:rPr>
            <w:rStyle w:val="a8"/>
          </w:rPr>
          <w:t>https://bank.gov.ua/ua/news/all/za-kilkistyu-ta-sumoyu-v-ukrayini-perevajayut-bezgotivkovi-operatsiyi</w:t>
        </w:r>
      </w:hyperlink>
      <w:r>
        <w:t xml:space="preserve">; </w:t>
      </w:r>
      <w:hyperlink r:id="rId4" w:history="1">
        <w:r>
          <w:rPr>
            <w:rStyle w:val="a8"/>
          </w:rPr>
          <w:t>https://bank.gov.ua/admin_uploads/article/06-08-20_Cashless_operations_ua.jpg</w:t>
        </w:r>
      </w:hyperlink>
      <w:r>
        <w:t xml:space="preserve">; </w:t>
      </w:r>
      <w:hyperlink r:id="rId5" w:history="1">
        <w:r>
          <w:rPr>
            <w:rStyle w:val="a8"/>
          </w:rPr>
          <w:t>https://news.dtkt.ua/finance/bank-system/53703</w:t>
        </w:r>
      </w:hyperlink>
      <w:r>
        <w:t xml:space="preserve">; </w:t>
      </w:r>
      <w:hyperlink r:id="rId6" w:history="1">
        <w:r>
          <w:rPr>
            <w:rStyle w:val="a8"/>
          </w:rPr>
          <w:t>https://bank.gov.ua/ua/news/all/rozpodil-bezgotivkovih-operatsiy-z-vikoristannyam-platijnih-kartok-2019-rik</w:t>
        </w:r>
      </w:hyperlink>
    </w:p>
  </w:footnote>
  <w:footnote w:id="3">
    <w:p w14:paraId="0FB58CF9" w14:textId="77777777" w:rsidR="00306376" w:rsidRDefault="00F0066F">
      <w:pPr>
        <w:pStyle w:val="a5"/>
      </w:pPr>
      <w:r>
        <w:rPr>
          <w:rStyle w:val="a7"/>
        </w:rPr>
        <w:footnoteRef/>
      </w:r>
      <w:r>
        <w:t xml:space="preserve"> </w:t>
      </w:r>
      <w:hyperlink r:id="rId7" w:history="1">
        <w:r>
          <w:rPr>
            <w:rStyle w:val="a8"/>
          </w:rPr>
          <w:t>https://bank.gov.ua/ua/news/all/kontseptsiya-proektu-cashless-economy-vid-18052016</w:t>
        </w:r>
      </w:hyperlink>
      <w:r>
        <w:t xml:space="preserve"> </w:t>
      </w:r>
    </w:p>
  </w:footnote>
  <w:footnote w:id="4">
    <w:p w14:paraId="42EDF896" w14:textId="001054DE" w:rsidR="00306376" w:rsidRDefault="00F0066F">
      <w:pPr>
        <w:pStyle w:val="a5"/>
      </w:pPr>
      <w:r>
        <w:rPr>
          <w:rStyle w:val="a7"/>
        </w:rPr>
        <w:footnoteRef/>
      </w:r>
      <w:r>
        <w:t xml:space="preserve"> </w:t>
      </w:r>
      <w:hyperlink r:id="rId8" w:history="1">
        <w:r w:rsidR="00F0745E" w:rsidRPr="00903AFE">
          <w:rPr>
            <w:rStyle w:val="a8"/>
            <w:rFonts w:cs="Calibri"/>
          </w:rPr>
          <w:t>http://eur-lex.europa.eu/legal-content/EN/TXT/?uri=celex:32015R0751</w:t>
        </w:r>
      </w:hyperlink>
      <w:r w:rsidR="00F0745E">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A3382D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7F77AE6"/>
    <w:multiLevelType w:val="hybridMultilevel"/>
    <w:tmpl w:val="8F1CA5C8"/>
    <w:lvl w:ilvl="0" w:tplc="D9FC1406">
      <w:start w:val="2"/>
      <w:numFmt w:val="bullet"/>
      <w:lvlText w:val="-"/>
      <w:lvlJc w:val="left"/>
      <w:pPr>
        <w:ind w:left="1069" w:hanging="360"/>
      </w:pPr>
      <w:rPr>
        <w:rFonts w:ascii="Times New Roman" w:eastAsia="SimSu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30DF16B8"/>
    <w:multiLevelType w:val="multilevel"/>
    <w:tmpl w:val="604A5A86"/>
    <w:lvl w:ilvl="0">
      <w:start w:val="1"/>
      <w:numFmt w:val="bullet"/>
      <w:lvlText w:val=""/>
      <w:lvlJc w:val="left"/>
      <w:pPr>
        <w:tabs>
          <w:tab w:val="left" w:pos="720"/>
        </w:tabs>
        <w:ind w:left="720" w:hanging="360"/>
      </w:pPr>
      <w:rPr>
        <w:rFonts w:ascii="Wingdings" w:hAnsi="Wingdings" w:hint="default"/>
        <w:sz w:val="20"/>
      </w:rPr>
    </w:lvl>
    <w:lvl w:ilvl="1" w:tentative="1">
      <w:start w:val="1"/>
      <w:numFmt w:val="bullet"/>
      <w:lvlText w:val=""/>
      <w:lvlJc w:val="left"/>
      <w:pPr>
        <w:tabs>
          <w:tab w:val="left" w:pos="1440"/>
        </w:tabs>
        <w:ind w:left="1440" w:hanging="360"/>
      </w:pPr>
      <w:rPr>
        <w:rFonts w:ascii="Wingdings" w:hAnsi="Wingdings"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376"/>
    <w:rsid w:val="0008773D"/>
    <w:rsid w:val="001136A2"/>
    <w:rsid w:val="001B2A6F"/>
    <w:rsid w:val="001B6B5F"/>
    <w:rsid w:val="001D61A4"/>
    <w:rsid w:val="001D6867"/>
    <w:rsid w:val="002B53F0"/>
    <w:rsid w:val="00306376"/>
    <w:rsid w:val="00392BFA"/>
    <w:rsid w:val="003D7646"/>
    <w:rsid w:val="004C02A1"/>
    <w:rsid w:val="00510D73"/>
    <w:rsid w:val="005676D0"/>
    <w:rsid w:val="00591136"/>
    <w:rsid w:val="00593DF8"/>
    <w:rsid w:val="005C0569"/>
    <w:rsid w:val="005C116B"/>
    <w:rsid w:val="00663900"/>
    <w:rsid w:val="006A0AF7"/>
    <w:rsid w:val="007577B4"/>
    <w:rsid w:val="0079556E"/>
    <w:rsid w:val="007C202D"/>
    <w:rsid w:val="007F3575"/>
    <w:rsid w:val="00800038"/>
    <w:rsid w:val="008610FD"/>
    <w:rsid w:val="008D1798"/>
    <w:rsid w:val="00920628"/>
    <w:rsid w:val="009238D6"/>
    <w:rsid w:val="00944661"/>
    <w:rsid w:val="009F13D8"/>
    <w:rsid w:val="009F2A8B"/>
    <w:rsid w:val="00A04DE4"/>
    <w:rsid w:val="00A107B1"/>
    <w:rsid w:val="00AC5C79"/>
    <w:rsid w:val="00AE5063"/>
    <w:rsid w:val="00BB6821"/>
    <w:rsid w:val="00CC61F8"/>
    <w:rsid w:val="00CD6AF8"/>
    <w:rsid w:val="00D478DD"/>
    <w:rsid w:val="00D8496D"/>
    <w:rsid w:val="00EC4944"/>
    <w:rsid w:val="00F0066F"/>
    <w:rsid w:val="00F0092B"/>
    <w:rsid w:val="00F0745E"/>
    <w:rsid w:val="00F30A3D"/>
    <w:rsid w:val="00F362B6"/>
    <w:rsid w:val="00FA1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D565FA"/>
  <w15:docId w15:val="{EB7976FA-3087-7D4B-8CE4-EA3B0BDD0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rPr>
      <w:rFonts w:ascii="Courier New" w:hAnsi="Courier New" w:cs="Courier New"/>
      <w:sz w:val="20"/>
      <w:szCs w:val="20"/>
      <w:lang w:val="ru-RU" w:eastAsia="ru-RU"/>
    </w:rPr>
  </w:style>
  <w:style w:type="paragraph" w:styleId="a3">
    <w:name w:val="List Paragraph"/>
    <w:basedOn w:val="a"/>
    <w:uiPriority w:val="99"/>
    <w:qFormat/>
    <w:pPr>
      <w:ind w:left="720"/>
    </w:pPr>
    <w:rPr>
      <w:rFonts w:cs="Calibri"/>
    </w:rPr>
  </w:style>
  <w:style w:type="paragraph" w:styleId="a4">
    <w:name w:val="Normal (Web)"/>
    <w:basedOn w:val="a"/>
    <w:uiPriority w:val="99"/>
    <w:pPr>
      <w:spacing w:before="100" w:beforeAutospacing="1" w:after="100" w:afterAutospacing="1" w:line="240" w:lineRule="auto"/>
    </w:pPr>
    <w:rPr>
      <w:rFonts w:ascii="Times New Roman" w:hAnsi="Times New Roman"/>
      <w:sz w:val="24"/>
      <w:szCs w:val="24"/>
    </w:rPr>
  </w:style>
  <w:style w:type="paragraph" w:styleId="a5">
    <w:name w:val="footnote text"/>
    <w:basedOn w:val="a"/>
    <w:link w:val="a6"/>
    <w:uiPriority w:val="99"/>
    <w:rPr>
      <w:rFonts w:cs="Calibri"/>
      <w:sz w:val="20"/>
      <w:szCs w:val="20"/>
    </w:rPr>
  </w:style>
  <w:style w:type="character" w:customStyle="1" w:styleId="a6">
    <w:name w:val="Текст виноски Знак"/>
    <w:basedOn w:val="a0"/>
    <w:link w:val="a5"/>
    <w:uiPriority w:val="99"/>
    <w:rPr>
      <w:rFonts w:ascii="Calibri" w:hAnsi="Calibri" w:cs="Calibri"/>
      <w:sz w:val="20"/>
      <w:szCs w:val="20"/>
    </w:rPr>
  </w:style>
  <w:style w:type="character" w:styleId="a7">
    <w:name w:val="footnote reference"/>
    <w:basedOn w:val="a0"/>
    <w:uiPriority w:val="99"/>
    <w:rPr>
      <w:rFonts w:cs="Times New Roman"/>
      <w:vertAlign w:val="superscript"/>
    </w:rPr>
  </w:style>
  <w:style w:type="character" w:styleId="a8">
    <w:name w:val="Hyperlink"/>
    <w:basedOn w:val="a0"/>
    <w:uiPriority w:val="99"/>
    <w:rPr>
      <w:rFonts w:cs="Times New Roman"/>
      <w:color w:val="0000FF"/>
      <w:u w:val="single"/>
    </w:rPr>
  </w:style>
  <w:style w:type="character" w:styleId="a9">
    <w:name w:val="Emphasis"/>
    <w:basedOn w:val="a0"/>
    <w:uiPriority w:val="20"/>
    <w:qFormat/>
    <w:rPr>
      <w:rFonts w:cs="Times New Roman"/>
      <w:i/>
      <w:iCs/>
    </w:rPr>
  </w:style>
  <w:style w:type="paragraph" w:styleId="aa">
    <w:name w:val="No Spacing"/>
    <w:uiPriority w:val="1"/>
    <w:qFormat/>
    <w:pPr>
      <w:spacing w:after="0" w:line="240" w:lineRule="auto"/>
    </w:pPr>
    <w:rPr>
      <w:rFonts w:cs="Calibri"/>
      <w:lang w:val="uk-UA" w:eastAsia="uk-UA"/>
    </w:rPr>
  </w:style>
  <w:style w:type="paragraph" w:styleId="ab">
    <w:name w:val="Balloon Text"/>
    <w:basedOn w:val="a"/>
    <w:link w:val="ac"/>
    <w:uiPriority w:val="99"/>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rPr>
      <w:rFonts w:ascii="Tahoma" w:hAnsi="Tahoma" w:cs="Tahoma"/>
      <w:sz w:val="16"/>
      <w:szCs w:val="16"/>
    </w:rPr>
  </w:style>
  <w:style w:type="character" w:customStyle="1" w:styleId="UnresolvedMention1">
    <w:name w:val="Unresolved Mention1"/>
    <w:basedOn w:val="a0"/>
    <w:uiPriority w:val="99"/>
    <w:semiHidden/>
    <w:unhideWhenUsed/>
    <w:rsid w:val="00F0745E"/>
    <w:rPr>
      <w:color w:val="605E5C"/>
      <w:shd w:val="clear" w:color="auto" w:fill="E1DFDD"/>
    </w:rPr>
  </w:style>
  <w:style w:type="character" w:styleId="ad">
    <w:name w:val="annotation reference"/>
    <w:basedOn w:val="a0"/>
    <w:uiPriority w:val="99"/>
    <w:semiHidden/>
    <w:unhideWhenUsed/>
    <w:rsid w:val="00944661"/>
    <w:rPr>
      <w:sz w:val="16"/>
      <w:szCs w:val="16"/>
    </w:rPr>
  </w:style>
  <w:style w:type="paragraph" w:styleId="ae">
    <w:name w:val="annotation text"/>
    <w:basedOn w:val="a"/>
    <w:link w:val="af"/>
    <w:uiPriority w:val="99"/>
    <w:semiHidden/>
    <w:unhideWhenUsed/>
    <w:rsid w:val="00944661"/>
    <w:pPr>
      <w:spacing w:line="240" w:lineRule="auto"/>
    </w:pPr>
    <w:rPr>
      <w:sz w:val="20"/>
      <w:szCs w:val="20"/>
    </w:rPr>
  </w:style>
  <w:style w:type="character" w:customStyle="1" w:styleId="af">
    <w:name w:val="Текст примітки Знак"/>
    <w:basedOn w:val="a0"/>
    <w:link w:val="ae"/>
    <w:uiPriority w:val="99"/>
    <w:semiHidden/>
    <w:rsid w:val="00944661"/>
    <w:rPr>
      <w:sz w:val="20"/>
      <w:szCs w:val="20"/>
      <w:lang w:val="uk-UA" w:eastAsia="uk-UA"/>
    </w:rPr>
  </w:style>
  <w:style w:type="paragraph" w:styleId="af0">
    <w:name w:val="annotation subject"/>
    <w:basedOn w:val="ae"/>
    <w:next w:val="ae"/>
    <w:link w:val="af1"/>
    <w:uiPriority w:val="99"/>
    <w:semiHidden/>
    <w:unhideWhenUsed/>
    <w:rsid w:val="00944661"/>
    <w:rPr>
      <w:b/>
      <w:bCs/>
    </w:rPr>
  </w:style>
  <w:style w:type="character" w:customStyle="1" w:styleId="af1">
    <w:name w:val="Тема примітки Знак"/>
    <w:basedOn w:val="af"/>
    <w:link w:val="af0"/>
    <w:uiPriority w:val="99"/>
    <w:semiHidden/>
    <w:rsid w:val="00944661"/>
    <w:rPr>
      <w:b/>
      <w:bCs/>
      <w:sz w:val="20"/>
      <w:szCs w:val="20"/>
      <w:lang w:val="uk-UA" w:eastAsia="uk-UA"/>
    </w:rPr>
  </w:style>
  <w:style w:type="paragraph" w:styleId="af2">
    <w:name w:val="header"/>
    <w:basedOn w:val="a"/>
    <w:link w:val="af3"/>
    <w:uiPriority w:val="99"/>
    <w:unhideWhenUsed/>
    <w:rsid w:val="001B6B5F"/>
    <w:pPr>
      <w:tabs>
        <w:tab w:val="center" w:pos="4677"/>
        <w:tab w:val="right" w:pos="9355"/>
      </w:tabs>
      <w:spacing w:after="0" w:line="240" w:lineRule="auto"/>
    </w:pPr>
  </w:style>
  <w:style w:type="character" w:customStyle="1" w:styleId="af3">
    <w:name w:val="Верхній колонтитул Знак"/>
    <w:basedOn w:val="a0"/>
    <w:link w:val="af2"/>
    <w:uiPriority w:val="99"/>
    <w:rsid w:val="001B6B5F"/>
    <w:rPr>
      <w:lang w:val="uk-UA" w:eastAsia="uk-UA"/>
    </w:rPr>
  </w:style>
  <w:style w:type="paragraph" w:styleId="af4">
    <w:name w:val="footer"/>
    <w:basedOn w:val="a"/>
    <w:link w:val="af5"/>
    <w:uiPriority w:val="99"/>
    <w:unhideWhenUsed/>
    <w:rsid w:val="001B6B5F"/>
    <w:pPr>
      <w:tabs>
        <w:tab w:val="center" w:pos="4677"/>
        <w:tab w:val="right" w:pos="9355"/>
      </w:tabs>
      <w:spacing w:after="0" w:line="240" w:lineRule="auto"/>
    </w:pPr>
  </w:style>
  <w:style w:type="character" w:customStyle="1" w:styleId="af5">
    <w:name w:val="Нижній колонтитул Знак"/>
    <w:basedOn w:val="a0"/>
    <w:link w:val="af4"/>
    <w:uiPriority w:val="99"/>
    <w:rsid w:val="001B6B5F"/>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094457">
      <w:bodyDiv w:val="1"/>
      <w:marLeft w:val="0"/>
      <w:marRight w:val="0"/>
      <w:marTop w:val="0"/>
      <w:marBottom w:val="0"/>
      <w:divBdr>
        <w:top w:val="none" w:sz="0" w:space="0" w:color="auto"/>
        <w:left w:val="none" w:sz="0" w:space="0" w:color="auto"/>
        <w:bottom w:val="none" w:sz="0" w:space="0" w:color="auto"/>
        <w:right w:val="none" w:sz="0" w:space="0" w:color="auto"/>
      </w:divBdr>
    </w:div>
    <w:div w:id="818309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eur-lex.europa.eu/legal-content/EN/TXT/?uri=celex:32015R0751" TargetMode="External"/><Relationship Id="rId3" Type="http://schemas.openxmlformats.org/officeDocument/2006/relationships/hyperlink" Target="https://bank.gov.ua/ua/news/all/za-kilkistyu-ta-sumoyu-v-ukrayini-perevajayut-bezgotivkovi-operatsiyi" TargetMode="External"/><Relationship Id="rId7" Type="http://schemas.openxmlformats.org/officeDocument/2006/relationships/hyperlink" Target="https://bank.gov.ua/ua/news/all/kontseptsiya-proektu-cashless-economy-vid-18052016" TargetMode="External"/><Relationship Id="rId2" Type="http://schemas.openxmlformats.org/officeDocument/2006/relationships/hyperlink" Target="https://bank.gov.ua/doccatalog/document?id=31538042" TargetMode="External"/><Relationship Id="rId1" Type="http://schemas.openxmlformats.org/officeDocument/2006/relationships/hyperlink" Target="https://bank.gov.ua/ua/news/all/osnovni-trendi-kartkovogo-rinku-u-2020-rotsi-bezkontaktni-plateji-ta-rozrahunki-v-interneti" TargetMode="External"/><Relationship Id="rId6" Type="http://schemas.openxmlformats.org/officeDocument/2006/relationships/hyperlink" Target="https://bank.gov.ua/ua/news/all/rozpodil-bezgotivkovih-operatsiy-z-vikoristannyam-platijnih-kartok-2019-rik" TargetMode="External"/><Relationship Id="rId5" Type="http://schemas.openxmlformats.org/officeDocument/2006/relationships/hyperlink" Target="https://news.dtkt.ua/finance/bank-system/53703" TargetMode="External"/><Relationship Id="rId4" Type="http://schemas.openxmlformats.org/officeDocument/2006/relationships/hyperlink" Target="https://bank.gov.ua/admin_uploads/article/06-08-20_Cashless_operations_ua.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2DE8EB-D4CC-4306-BE94-1C4B1D673E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ADD0DA-6C37-4F7A-B298-DDD6B3B099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F179CC-3100-45C0-AE4C-7D50A9A3318A}">
  <ds:schemaRefs>
    <ds:schemaRef ds:uri="http://schemas.microsoft.com/sharepoint/v3/contenttype/forms"/>
  </ds:schemaRefs>
</ds:datastoreItem>
</file>

<file path=customXml/itemProps4.xml><?xml version="1.0" encoding="utf-8"?>
<ds:datastoreItem xmlns:ds="http://schemas.openxmlformats.org/officeDocument/2006/customXml" ds:itemID="{D5630BAF-6C97-4AEF-8BE1-757F63CEB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11061</Words>
  <Characters>6305</Characters>
  <Application>Microsoft Office Word</Application>
  <DocSecurity>0</DocSecurity>
  <Lines>52</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Павло Петрович</dc:creator>
  <cp:lastModifiedBy>Павлюк Павло Петрович</cp:lastModifiedBy>
  <cp:revision>2</cp:revision>
  <dcterms:created xsi:type="dcterms:W3CDTF">2021-07-06T14:23:00Z</dcterms:created>
  <dcterms:modified xsi:type="dcterms:W3CDTF">2021-07-06T14:23:00Z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