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5C70" w:rsidRDefault="0081575E" w:rsidP="0081575E">
      <w:pPr>
        <w:spacing w:after="0"/>
        <w:jc w:val="center"/>
        <w:rPr>
          <w:rFonts w:ascii="Times New Roman" w:hAnsi="Times New Roman" w:cs="Times New Roman"/>
          <w:b/>
          <w:sz w:val="28"/>
          <w:szCs w:val="28"/>
          <w:lang w:val="uk-UA"/>
        </w:rPr>
      </w:pPr>
      <w:bookmarkStart w:id="0" w:name="_GoBack"/>
      <w:bookmarkEnd w:id="0"/>
      <w:r w:rsidRPr="00E70275">
        <w:rPr>
          <w:rFonts w:ascii="Times New Roman" w:hAnsi="Times New Roman" w:cs="Times New Roman"/>
          <w:b/>
          <w:sz w:val="28"/>
          <w:szCs w:val="28"/>
          <w:lang w:val="uk-UA"/>
        </w:rPr>
        <w:t xml:space="preserve">Порівняльна таблиця </w:t>
      </w:r>
    </w:p>
    <w:p w:rsidR="0081575E" w:rsidRPr="00E70275" w:rsidRDefault="00ED5C70" w:rsidP="0081575E">
      <w:pPr>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до про</w:t>
      </w:r>
      <w:r w:rsidR="00CE316D">
        <w:rPr>
          <w:rFonts w:ascii="Times New Roman" w:hAnsi="Times New Roman" w:cs="Times New Roman"/>
          <w:b/>
          <w:sz w:val="28"/>
          <w:szCs w:val="28"/>
          <w:lang w:val="uk-UA"/>
        </w:rPr>
        <w:t>е</w:t>
      </w:r>
      <w:r>
        <w:rPr>
          <w:rFonts w:ascii="Times New Roman" w:hAnsi="Times New Roman" w:cs="Times New Roman"/>
          <w:b/>
          <w:sz w:val="28"/>
          <w:szCs w:val="28"/>
          <w:lang w:val="uk-UA"/>
        </w:rPr>
        <w:t>кту Закону України</w:t>
      </w:r>
    </w:p>
    <w:p w:rsidR="00372298" w:rsidRPr="00372298" w:rsidRDefault="00415E85" w:rsidP="00372298">
      <w:pPr>
        <w:jc w:val="center"/>
        <w:rPr>
          <w:rFonts w:ascii="Times New Roman" w:hAnsi="Times New Roman" w:cs="Times New Roman"/>
          <w:b/>
          <w:sz w:val="28"/>
          <w:szCs w:val="28"/>
          <w:lang w:val="uk-UA"/>
        </w:rPr>
      </w:pPr>
      <w:r w:rsidRPr="00E70275">
        <w:rPr>
          <w:rFonts w:ascii="Times New Roman" w:hAnsi="Times New Roman" w:cs="Times New Roman"/>
          <w:b/>
          <w:sz w:val="28"/>
          <w:szCs w:val="28"/>
          <w:lang w:val="uk-UA"/>
        </w:rPr>
        <w:t>Про внесення змін</w:t>
      </w:r>
      <w:r w:rsidR="00DC5DD8">
        <w:rPr>
          <w:rFonts w:ascii="Times New Roman" w:hAnsi="Times New Roman" w:cs="Times New Roman"/>
          <w:b/>
          <w:sz w:val="28"/>
          <w:szCs w:val="28"/>
          <w:lang w:val="uk-UA"/>
        </w:rPr>
        <w:t>и</w:t>
      </w:r>
      <w:r w:rsidRPr="00E70275">
        <w:rPr>
          <w:rFonts w:ascii="Times New Roman" w:hAnsi="Times New Roman" w:cs="Times New Roman"/>
          <w:b/>
          <w:sz w:val="28"/>
          <w:szCs w:val="28"/>
          <w:lang w:val="uk-UA"/>
        </w:rPr>
        <w:t xml:space="preserve"> до статті 11 Закону України «Про валюту і валютні операції» </w:t>
      </w:r>
      <w:r w:rsidR="00372298" w:rsidRPr="00372298">
        <w:rPr>
          <w:rFonts w:ascii="Times New Roman" w:hAnsi="Times New Roman" w:cs="Times New Roman"/>
          <w:b/>
          <w:sz w:val="28"/>
          <w:szCs w:val="28"/>
          <w:lang w:val="uk-UA"/>
        </w:rPr>
        <w:t>щодо виконання банками функцій агентів валютного нагляду</w:t>
      </w:r>
    </w:p>
    <w:tbl>
      <w:tblPr>
        <w:tblStyle w:val="a3"/>
        <w:tblW w:w="0" w:type="auto"/>
        <w:tblLook w:val="04A0" w:firstRow="1" w:lastRow="0" w:firstColumn="1" w:lastColumn="0" w:noHBand="0" w:noVBand="1"/>
      </w:tblPr>
      <w:tblGrid>
        <w:gridCol w:w="7286"/>
        <w:gridCol w:w="7274"/>
      </w:tblGrid>
      <w:tr w:rsidR="0081575E" w:rsidRPr="00E70275" w:rsidTr="0081575E">
        <w:tc>
          <w:tcPr>
            <w:tcW w:w="7393" w:type="dxa"/>
          </w:tcPr>
          <w:p w:rsidR="0081575E" w:rsidRPr="00E70275" w:rsidRDefault="0081575E" w:rsidP="0081575E">
            <w:pPr>
              <w:jc w:val="center"/>
              <w:rPr>
                <w:rFonts w:ascii="Times New Roman" w:hAnsi="Times New Roman" w:cs="Times New Roman"/>
                <w:b/>
                <w:sz w:val="28"/>
                <w:szCs w:val="28"/>
                <w:lang w:val="uk-UA"/>
              </w:rPr>
            </w:pPr>
            <w:r w:rsidRPr="00E70275">
              <w:rPr>
                <w:rFonts w:ascii="Times New Roman" w:hAnsi="Times New Roman" w:cs="Times New Roman"/>
                <w:b/>
                <w:sz w:val="28"/>
                <w:szCs w:val="28"/>
                <w:lang w:val="uk-UA"/>
              </w:rPr>
              <w:t>Чинна редакція норм</w:t>
            </w:r>
          </w:p>
        </w:tc>
        <w:tc>
          <w:tcPr>
            <w:tcW w:w="7393" w:type="dxa"/>
          </w:tcPr>
          <w:p w:rsidR="0081575E" w:rsidRPr="00E70275" w:rsidRDefault="0081575E" w:rsidP="0081575E">
            <w:pPr>
              <w:jc w:val="center"/>
              <w:rPr>
                <w:rFonts w:ascii="Times New Roman" w:hAnsi="Times New Roman" w:cs="Times New Roman"/>
                <w:b/>
                <w:sz w:val="28"/>
                <w:szCs w:val="28"/>
                <w:lang w:val="uk-UA"/>
              </w:rPr>
            </w:pPr>
            <w:r w:rsidRPr="00E70275">
              <w:rPr>
                <w:rFonts w:ascii="Times New Roman" w:hAnsi="Times New Roman" w:cs="Times New Roman"/>
                <w:b/>
                <w:sz w:val="28"/>
                <w:szCs w:val="28"/>
                <w:lang w:val="uk-UA"/>
              </w:rPr>
              <w:t>Редакція з урахуванням змін</w:t>
            </w:r>
          </w:p>
          <w:p w:rsidR="00E70275" w:rsidRPr="00E70275" w:rsidRDefault="00E70275" w:rsidP="0081575E">
            <w:pPr>
              <w:jc w:val="center"/>
              <w:rPr>
                <w:rFonts w:ascii="Times New Roman" w:hAnsi="Times New Roman" w:cs="Times New Roman"/>
                <w:b/>
                <w:sz w:val="28"/>
                <w:szCs w:val="28"/>
                <w:lang w:val="uk-UA"/>
              </w:rPr>
            </w:pPr>
          </w:p>
        </w:tc>
      </w:tr>
      <w:tr w:rsidR="00E70275" w:rsidRPr="00E70275" w:rsidTr="0081575E">
        <w:tc>
          <w:tcPr>
            <w:tcW w:w="7393" w:type="dxa"/>
          </w:tcPr>
          <w:p w:rsidR="00E70275" w:rsidRPr="00E70275" w:rsidRDefault="00E70275" w:rsidP="00E70275">
            <w:pPr>
              <w:pStyle w:val="rvps2"/>
              <w:shd w:val="clear" w:color="auto" w:fill="FFFFFF"/>
              <w:spacing w:before="0" w:beforeAutospacing="0" w:after="150" w:afterAutospacing="0"/>
              <w:ind w:firstLine="450"/>
              <w:jc w:val="both"/>
              <w:rPr>
                <w:sz w:val="28"/>
                <w:szCs w:val="28"/>
                <w:lang w:val="uk-UA"/>
              </w:rPr>
            </w:pPr>
            <w:r w:rsidRPr="00E70275">
              <w:rPr>
                <w:rStyle w:val="rvts9"/>
                <w:b/>
                <w:bCs/>
                <w:sz w:val="28"/>
                <w:szCs w:val="28"/>
                <w:lang w:val="uk-UA"/>
              </w:rPr>
              <w:t>Стаття 11.</w:t>
            </w:r>
            <w:r w:rsidR="004F6E89">
              <w:rPr>
                <w:rStyle w:val="rvts9"/>
                <w:b/>
                <w:bCs/>
                <w:sz w:val="28"/>
                <w:szCs w:val="28"/>
                <w:lang w:val="uk-UA"/>
              </w:rPr>
              <w:t xml:space="preserve"> </w:t>
            </w:r>
            <w:r w:rsidRPr="00E70275">
              <w:rPr>
                <w:sz w:val="28"/>
                <w:szCs w:val="28"/>
                <w:lang w:val="uk-UA"/>
              </w:rPr>
              <w:t>Валютний нагляд</w:t>
            </w:r>
          </w:p>
          <w:p w:rsidR="00E70275" w:rsidRPr="00E70275" w:rsidRDefault="00E70275" w:rsidP="00E70275">
            <w:pPr>
              <w:pStyle w:val="rvps2"/>
              <w:shd w:val="clear" w:color="auto" w:fill="FFFFFF"/>
              <w:spacing w:before="0" w:beforeAutospacing="0" w:after="150" w:afterAutospacing="0"/>
              <w:ind w:firstLine="450"/>
              <w:jc w:val="both"/>
              <w:rPr>
                <w:sz w:val="28"/>
                <w:szCs w:val="28"/>
                <w:lang w:val="uk-UA"/>
              </w:rPr>
            </w:pPr>
            <w:bookmarkStart w:id="1" w:name="n125"/>
            <w:bookmarkEnd w:id="1"/>
            <w:r w:rsidRPr="00E70275">
              <w:rPr>
                <w:sz w:val="28"/>
                <w:szCs w:val="28"/>
                <w:lang w:val="uk-UA"/>
              </w:rPr>
              <w:t>1. Валютний нагляд в Україні здійснюється органами валютного нагляду та агентами валютного нагляду.</w:t>
            </w:r>
          </w:p>
          <w:p w:rsidR="00E70275" w:rsidRPr="00E70275" w:rsidRDefault="00E70275" w:rsidP="0081575E">
            <w:pPr>
              <w:jc w:val="center"/>
              <w:rPr>
                <w:rFonts w:ascii="Times New Roman" w:hAnsi="Times New Roman" w:cs="Times New Roman"/>
                <w:b/>
                <w:sz w:val="28"/>
                <w:szCs w:val="28"/>
                <w:lang w:val="uk-UA"/>
              </w:rPr>
            </w:pPr>
          </w:p>
        </w:tc>
        <w:tc>
          <w:tcPr>
            <w:tcW w:w="7393" w:type="dxa"/>
          </w:tcPr>
          <w:p w:rsidR="00E70275" w:rsidRPr="00E70275" w:rsidRDefault="00E70275" w:rsidP="00E70275">
            <w:pPr>
              <w:pStyle w:val="rvps2"/>
              <w:shd w:val="clear" w:color="auto" w:fill="FFFFFF"/>
              <w:spacing w:before="0" w:beforeAutospacing="0" w:after="150" w:afterAutospacing="0"/>
              <w:ind w:firstLine="450"/>
              <w:jc w:val="both"/>
              <w:rPr>
                <w:sz w:val="28"/>
                <w:szCs w:val="28"/>
                <w:lang w:val="uk-UA"/>
              </w:rPr>
            </w:pPr>
            <w:r w:rsidRPr="00E70275">
              <w:rPr>
                <w:rStyle w:val="rvts9"/>
                <w:b/>
                <w:bCs/>
                <w:sz w:val="28"/>
                <w:szCs w:val="28"/>
                <w:lang w:val="uk-UA"/>
              </w:rPr>
              <w:t>Стаття 11.</w:t>
            </w:r>
            <w:r w:rsidR="004F6E89">
              <w:rPr>
                <w:rStyle w:val="rvts9"/>
                <w:b/>
                <w:bCs/>
                <w:sz w:val="28"/>
                <w:szCs w:val="28"/>
                <w:lang w:val="uk-UA"/>
              </w:rPr>
              <w:t xml:space="preserve"> </w:t>
            </w:r>
            <w:r w:rsidRPr="00E70275">
              <w:rPr>
                <w:sz w:val="28"/>
                <w:szCs w:val="28"/>
                <w:lang w:val="uk-UA"/>
              </w:rPr>
              <w:t>Валютний нагляд</w:t>
            </w:r>
          </w:p>
          <w:p w:rsidR="00E70275" w:rsidRPr="00E70275" w:rsidRDefault="00E70275" w:rsidP="00E70275">
            <w:pPr>
              <w:pStyle w:val="rvps2"/>
              <w:shd w:val="clear" w:color="auto" w:fill="FFFFFF"/>
              <w:spacing w:before="0" w:beforeAutospacing="0" w:after="150" w:afterAutospacing="0"/>
              <w:ind w:firstLine="450"/>
              <w:jc w:val="both"/>
              <w:rPr>
                <w:sz w:val="28"/>
                <w:szCs w:val="28"/>
                <w:lang w:val="uk-UA"/>
              </w:rPr>
            </w:pPr>
            <w:r w:rsidRPr="00E70275">
              <w:rPr>
                <w:sz w:val="28"/>
                <w:szCs w:val="28"/>
                <w:lang w:val="uk-UA"/>
              </w:rPr>
              <w:t>1. Валютний нагляд в Україні здійснюється органами валютного нагляду та агентами валютного нагляду.</w:t>
            </w:r>
          </w:p>
          <w:p w:rsidR="00E70275" w:rsidRPr="00E70275" w:rsidRDefault="00E70275" w:rsidP="0081575E">
            <w:pPr>
              <w:jc w:val="center"/>
              <w:rPr>
                <w:rFonts w:ascii="Times New Roman" w:hAnsi="Times New Roman" w:cs="Times New Roman"/>
                <w:b/>
                <w:sz w:val="28"/>
                <w:szCs w:val="28"/>
                <w:lang w:val="uk-UA"/>
              </w:rPr>
            </w:pPr>
          </w:p>
        </w:tc>
      </w:tr>
      <w:tr w:rsidR="00E70275" w:rsidRPr="00CE316D" w:rsidTr="0081575E">
        <w:tc>
          <w:tcPr>
            <w:tcW w:w="7393" w:type="dxa"/>
          </w:tcPr>
          <w:p w:rsidR="00E70275" w:rsidRPr="00E70275" w:rsidRDefault="00E70275" w:rsidP="00E70275">
            <w:pPr>
              <w:pStyle w:val="rvps2"/>
              <w:shd w:val="clear" w:color="auto" w:fill="FFFFFF"/>
              <w:spacing w:before="0" w:beforeAutospacing="0" w:after="150" w:afterAutospacing="0"/>
              <w:ind w:firstLine="450"/>
              <w:jc w:val="both"/>
              <w:rPr>
                <w:sz w:val="28"/>
                <w:szCs w:val="28"/>
                <w:lang w:val="uk-UA"/>
              </w:rPr>
            </w:pPr>
            <w:r w:rsidRPr="00E70275">
              <w:rPr>
                <w:sz w:val="28"/>
                <w:szCs w:val="28"/>
                <w:lang w:val="uk-UA"/>
              </w:rPr>
              <w:t>7. Уповноважені установи є агентами валютного нагляду, підзвітними Національному банку України.</w:t>
            </w:r>
          </w:p>
          <w:p w:rsidR="00E70275" w:rsidRPr="00E70275" w:rsidRDefault="00E70275" w:rsidP="004F6E89">
            <w:pPr>
              <w:pStyle w:val="rvps2"/>
              <w:shd w:val="clear" w:color="auto" w:fill="FFFFFF"/>
              <w:spacing w:before="0" w:beforeAutospacing="0" w:after="150" w:afterAutospacing="0"/>
              <w:ind w:firstLine="450"/>
              <w:jc w:val="both"/>
              <w:rPr>
                <w:rStyle w:val="rvts9"/>
                <w:b/>
                <w:bCs/>
                <w:sz w:val="28"/>
                <w:szCs w:val="28"/>
                <w:lang w:val="uk-UA"/>
              </w:rPr>
            </w:pPr>
            <w:bookmarkStart w:id="2" w:name="n133"/>
            <w:bookmarkEnd w:id="2"/>
            <w:r w:rsidRPr="00E70275">
              <w:rPr>
                <w:sz w:val="28"/>
                <w:szCs w:val="28"/>
                <w:lang w:val="uk-UA"/>
              </w:rPr>
              <w:t>Уповноважені установи під час проведення ними валютних операцій, крім валютних операцій, пов’язаних з експортом та імпортом товару на суму, що є меншою за розмір, передбачений </w:t>
            </w:r>
            <w:r w:rsidRPr="004F6E89">
              <w:rPr>
                <w:sz w:val="28"/>
                <w:szCs w:val="28"/>
                <w:lang w:val="uk-UA"/>
              </w:rPr>
              <w:t>статтею 20</w:t>
            </w:r>
            <w:r w:rsidR="004F6E89">
              <w:rPr>
                <w:sz w:val="28"/>
                <w:szCs w:val="28"/>
                <w:lang w:val="uk-UA"/>
              </w:rPr>
              <w:t xml:space="preserve"> </w:t>
            </w:r>
            <w:r w:rsidRPr="00E70275">
              <w:rPr>
                <w:sz w:val="28"/>
                <w:szCs w:val="28"/>
                <w:lang w:val="uk-UA"/>
              </w:rPr>
              <w:t>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здійснюють безпосередній нагляд за виконанням вимог валютного законодавства резидентами (крім інших уповноважених установ) та нерезидентами, що здійснюють валютні операції через ці уповноважені установи.</w:t>
            </w:r>
          </w:p>
        </w:tc>
        <w:tc>
          <w:tcPr>
            <w:tcW w:w="7393" w:type="dxa"/>
          </w:tcPr>
          <w:p w:rsidR="00E70275" w:rsidRPr="00E70275" w:rsidRDefault="00E70275" w:rsidP="00E70275">
            <w:pPr>
              <w:pStyle w:val="rvps2"/>
              <w:shd w:val="clear" w:color="auto" w:fill="FFFFFF"/>
              <w:spacing w:before="0" w:beforeAutospacing="0" w:after="150" w:afterAutospacing="0"/>
              <w:ind w:firstLine="450"/>
              <w:jc w:val="both"/>
              <w:rPr>
                <w:sz w:val="28"/>
                <w:szCs w:val="28"/>
                <w:lang w:val="uk-UA"/>
              </w:rPr>
            </w:pPr>
            <w:r w:rsidRPr="00E70275">
              <w:rPr>
                <w:sz w:val="28"/>
                <w:szCs w:val="28"/>
                <w:lang w:val="uk-UA"/>
              </w:rPr>
              <w:t>7. Уповноважені установи є агентами валютного нагляду, підзвітними Національному банку України.</w:t>
            </w:r>
          </w:p>
          <w:p w:rsidR="00E70275" w:rsidRPr="00E70275" w:rsidRDefault="00E70275" w:rsidP="004F6E89">
            <w:pPr>
              <w:pStyle w:val="rvps2"/>
              <w:shd w:val="clear" w:color="auto" w:fill="FFFFFF"/>
              <w:spacing w:before="0" w:beforeAutospacing="0" w:after="150" w:afterAutospacing="0"/>
              <w:ind w:firstLine="450"/>
              <w:jc w:val="both"/>
              <w:rPr>
                <w:sz w:val="28"/>
                <w:szCs w:val="28"/>
                <w:lang w:val="uk-UA"/>
              </w:rPr>
            </w:pPr>
            <w:r w:rsidRPr="00E70275">
              <w:rPr>
                <w:sz w:val="28"/>
                <w:szCs w:val="28"/>
                <w:lang w:val="uk-UA"/>
              </w:rPr>
              <w:t>Уповноважені установи під час проведення ними валютних операцій, крім валютних операцій, пов’язаних з експортом та імпортом товару на суму, що є меншою за розмір, передбачений</w:t>
            </w:r>
            <w:r w:rsidR="004F6E89">
              <w:rPr>
                <w:sz w:val="28"/>
                <w:szCs w:val="28"/>
                <w:lang w:val="uk-UA"/>
              </w:rPr>
              <w:t xml:space="preserve"> </w:t>
            </w:r>
            <w:hyperlink r:id="rId9" w:anchor="n584" w:tgtFrame="_blank" w:history="1">
              <w:r w:rsidRPr="004F6E89">
                <w:rPr>
                  <w:sz w:val="28"/>
                  <w:szCs w:val="28"/>
                  <w:lang w:val="uk-UA"/>
                </w:rPr>
                <w:t>статтею 20</w:t>
              </w:r>
            </w:hyperlink>
            <w:r w:rsidR="004F6E89">
              <w:rPr>
                <w:sz w:val="28"/>
                <w:szCs w:val="28"/>
                <w:lang w:val="uk-UA"/>
              </w:rPr>
              <w:t xml:space="preserve"> </w:t>
            </w:r>
            <w:r w:rsidRPr="00E70275">
              <w:rPr>
                <w:sz w:val="28"/>
                <w:szCs w:val="28"/>
                <w:lang w:val="uk-UA"/>
              </w:rPr>
              <w:t>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здійснюють безпосередній нагляд за виконанням вимог валютного законодавства резидентами (крім інших уповноважених установ) та нерезидентами, що здійснюють валютні операції через ці уповноважені установи.</w:t>
            </w:r>
          </w:p>
        </w:tc>
      </w:tr>
      <w:tr w:rsidR="0081575E" w:rsidRPr="00CE316D" w:rsidTr="0081575E">
        <w:tc>
          <w:tcPr>
            <w:tcW w:w="7393" w:type="dxa"/>
          </w:tcPr>
          <w:p w:rsidR="0081575E" w:rsidRPr="00E70275" w:rsidRDefault="0081575E" w:rsidP="0081575E">
            <w:pPr>
              <w:rPr>
                <w:rFonts w:ascii="Times New Roman" w:hAnsi="Times New Roman" w:cs="Times New Roman"/>
                <w:b/>
                <w:sz w:val="28"/>
                <w:szCs w:val="28"/>
                <w:lang w:val="uk-UA"/>
              </w:rPr>
            </w:pPr>
          </w:p>
        </w:tc>
        <w:tc>
          <w:tcPr>
            <w:tcW w:w="7393" w:type="dxa"/>
          </w:tcPr>
          <w:p w:rsidR="0081575E" w:rsidRPr="00E70275" w:rsidRDefault="00E70275" w:rsidP="00E70275">
            <w:pPr>
              <w:ind w:firstLine="545"/>
              <w:jc w:val="both"/>
              <w:rPr>
                <w:rFonts w:ascii="Times New Roman" w:hAnsi="Times New Roman" w:cs="Times New Roman"/>
                <w:b/>
                <w:sz w:val="28"/>
                <w:szCs w:val="28"/>
                <w:lang w:val="uk-UA"/>
              </w:rPr>
            </w:pPr>
            <w:r w:rsidRPr="00E70275">
              <w:rPr>
                <w:rFonts w:ascii="Times New Roman" w:eastAsia="Times New Roman" w:hAnsi="Times New Roman" w:cs="Times New Roman"/>
                <w:b/>
                <w:bCs/>
                <w:sz w:val="28"/>
                <w:szCs w:val="28"/>
                <w:lang w:val="uk-UA" w:eastAsia="ru-RU"/>
              </w:rPr>
              <w:t xml:space="preserve">Банки обмінюються інформацією про належність рахунків клієнтів до банківських рахунків, відкритих нерезидентам, з метою здійснення валютного нагляду за </w:t>
            </w:r>
            <w:r w:rsidRPr="00E70275">
              <w:rPr>
                <w:rFonts w:ascii="Times New Roman" w:eastAsia="Times New Roman" w:hAnsi="Times New Roman" w:cs="Times New Roman"/>
                <w:b/>
                <w:bCs/>
                <w:sz w:val="28"/>
                <w:szCs w:val="28"/>
                <w:lang w:val="uk-UA" w:eastAsia="ru-RU"/>
              </w:rPr>
              <w:lastRenderedPageBreak/>
              <w:t>валютними операціями, що здійснюються їх клієнтами через ці банки. Національний банк України встановлює порядок ведення та використання банками записів реєстру рахунків інформаційної системи, що забезпечує збирання, накопичення, зберігання, доступ та використання банками інформації про належність рахунків до банківських рахунків, відкритих нерезидентам</w:t>
            </w:r>
            <w:r w:rsidR="00CE316D">
              <w:rPr>
                <w:rFonts w:ascii="Times New Roman" w:eastAsia="Times New Roman" w:hAnsi="Times New Roman" w:cs="Times New Roman"/>
                <w:b/>
                <w:bCs/>
                <w:sz w:val="28"/>
                <w:szCs w:val="28"/>
                <w:lang w:val="uk-UA" w:eastAsia="ru-RU"/>
              </w:rPr>
              <w:t>.</w:t>
            </w:r>
          </w:p>
        </w:tc>
      </w:tr>
      <w:tr w:rsidR="0081575E" w:rsidRPr="00B00678" w:rsidTr="0081575E">
        <w:tc>
          <w:tcPr>
            <w:tcW w:w="7393" w:type="dxa"/>
          </w:tcPr>
          <w:p w:rsidR="0081575E" w:rsidRPr="00B00678" w:rsidRDefault="00D1565E" w:rsidP="00CE316D">
            <w:pPr>
              <w:ind w:firstLine="284"/>
              <w:jc w:val="both"/>
              <w:rPr>
                <w:rFonts w:ascii="Times New Roman" w:hAnsi="Times New Roman" w:cs="Times New Roman"/>
                <w:b/>
                <w:sz w:val="28"/>
                <w:szCs w:val="28"/>
                <w:lang w:val="uk-UA"/>
              </w:rPr>
            </w:pPr>
            <w:hyperlink r:id="rId10" w:anchor="n15" w:tgtFrame="_blank" w:history="1">
              <w:r w:rsidR="00E70275" w:rsidRPr="00B00678">
                <w:rPr>
                  <w:rStyle w:val="a4"/>
                  <w:rFonts w:ascii="Times New Roman" w:hAnsi="Times New Roman" w:cs="Times New Roman"/>
                  <w:color w:val="auto"/>
                  <w:sz w:val="28"/>
                  <w:szCs w:val="28"/>
                  <w:u w:val="none"/>
                  <w:shd w:val="clear" w:color="auto" w:fill="FFFFFF"/>
                  <w:lang w:val="uk-UA"/>
                </w:rPr>
                <w:t>Порядок здійснення валютного нагляду</w:t>
              </w:r>
            </w:hyperlink>
            <w:r w:rsidR="00CE316D">
              <w:rPr>
                <w:lang w:val="uk-UA"/>
              </w:rPr>
              <w:t xml:space="preserve"> </w:t>
            </w:r>
            <w:r w:rsidR="00E70275" w:rsidRPr="00B00678">
              <w:rPr>
                <w:rFonts w:ascii="Times New Roman" w:hAnsi="Times New Roman" w:cs="Times New Roman"/>
                <w:sz w:val="28"/>
                <w:szCs w:val="28"/>
                <w:shd w:val="clear" w:color="auto" w:fill="FFFFFF"/>
                <w:lang w:val="uk-UA"/>
              </w:rPr>
              <w:t>агентами валютного нагляду встановлюється Національним банком України.</w:t>
            </w:r>
          </w:p>
        </w:tc>
        <w:tc>
          <w:tcPr>
            <w:tcW w:w="7393" w:type="dxa"/>
          </w:tcPr>
          <w:p w:rsidR="0081575E" w:rsidRPr="00B00678" w:rsidRDefault="00D1565E" w:rsidP="004F6E89">
            <w:pPr>
              <w:ind w:firstLine="262"/>
              <w:jc w:val="both"/>
              <w:rPr>
                <w:rFonts w:ascii="Times New Roman" w:hAnsi="Times New Roman" w:cs="Times New Roman"/>
                <w:b/>
                <w:sz w:val="28"/>
                <w:szCs w:val="28"/>
                <w:lang w:val="uk-UA"/>
              </w:rPr>
            </w:pPr>
            <w:hyperlink r:id="rId11" w:anchor="n15" w:tgtFrame="_blank" w:history="1">
              <w:r w:rsidR="00E70275" w:rsidRPr="00B00678">
                <w:rPr>
                  <w:rFonts w:ascii="Times New Roman" w:eastAsia="Times New Roman" w:hAnsi="Times New Roman" w:cs="Times New Roman"/>
                  <w:sz w:val="28"/>
                  <w:szCs w:val="28"/>
                  <w:lang w:val="uk-UA" w:eastAsia="ru-RU"/>
                </w:rPr>
                <w:t>Порядок здійснення валютного нагляду</w:t>
              </w:r>
            </w:hyperlink>
            <w:r w:rsidR="004F6E89">
              <w:rPr>
                <w:rFonts w:ascii="Times New Roman" w:eastAsia="Times New Roman" w:hAnsi="Times New Roman" w:cs="Times New Roman"/>
                <w:sz w:val="28"/>
                <w:szCs w:val="28"/>
                <w:lang w:val="uk-UA" w:eastAsia="ru-RU"/>
              </w:rPr>
              <w:t xml:space="preserve"> </w:t>
            </w:r>
            <w:r w:rsidR="00E70275" w:rsidRPr="00B00678">
              <w:rPr>
                <w:rFonts w:ascii="Times New Roman" w:eastAsia="Times New Roman" w:hAnsi="Times New Roman" w:cs="Times New Roman"/>
                <w:sz w:val="28"/>
                <w:szCs w:val="28"/>
                <w:lang w:val="uk-UA" w:eastAsia="ru-RU"/>
              </w:rPr>
              <w:t>агентами валютного нагляду встановлюється Національним банком України.</w:t>
            </w:r>
          </w:p>
        </w:tc>
      </w:tr>
    </w:tbl>
    <w:p w:rsidR="0081575E" w:rsidRDefault="0081575E" w:rsidP="0081575E">
      <w:pPr>
        <w:rPr>
          <w:rFonts w:ascii="Times New Roman" w:hAnsi="Times New Roman" w:cs="Times New Roman"/>
          <w:b/>
          <w:sz w:val="28"/>
          <w:szCs w:val="28"/>
          <w:lang w:val="uk-UA"/>
        </w:rPr>
      </w:pPr>
    </w:p>
    <w:p w:rsidR="00A021CB" w:rsidRDefault="00A021CB" w:rsidP="0081575E">
      <w:pPr>
        <w:rPr>
          <w:rFonts w:ascii="Times New Roman" w:hAnsi="Times New Roman" w:cs="Times New Roman"/>
          <w:b/>
          <w:sz w:val="28"/>
          <w:szCs w:val="28"/>
          <w:lang w:val="uk-UA"/>
        </w:rPr>
      </w:pPr>
    </w:p>
    <w:tbl>
      <w:tblPr>
        <w:tblW w:w="14459" w:type="dxa"/>
        <w:tblLayout w:type="fixed"/>
        <w:tblLook w:val="01E0" w:firstRow="1" w:lastRow="1" w:firstColumn="1" w:lastColumn="1" w:noHBand="0" w:noVBand="0"/>
      </w:tblPr>
      <w:tblGrid>
        <w:gridCol w:w="6237"/>
        <w:gridCol w:w="8222"/>
      </w:tblGrid>
      <w:tr w:rsidR="00A021CB" w:rsidRPr="006E481F" w:rsidTr="00A021CB">
        <w:trPr>
          <w:trHeight w:val="1180"/>
        </w:trPr>
        <w:tc>
          <w:tcPr>
            <w:tcW w:w="6237" w:type="dxa"/>
          </w:tcPr>
          <w:p w:rsidR="00A021CB" w:rsidRPr="006E481F" w:rsidRDefault="00A021CB" w:rsidP="00A04CC4">
            <w:pPr>
              <w:spacing w:after="360"/>
              <w:rPr>
                <w:rFonts w:ascii="Times New Roman" w:hAnsi="Times New Roman" w:cs="Times New Roman"/>
                <w:sz w:val="28"/>
                <w:szCs w:val="28"/>
              </w:rPr>
            </w:pPr>
            <w:r w:rsidRPr="006E481F">
              <w:rPr>
                <w:rFonts w:ascii="Times New Roman" w:hAnsi="Times New Roman" w:cs="Times New Roman"/>
                <w:b/>
                <w:sz w:val="28"/>
                <w:szCs w:val="28"/>
              </w:rPr>
              <w:t>Народн</w:t>
            </w:r>
            <w:r>
              <w:rPr>
                <w:rFonts w:ascii="Times New Roman" w:hAnsi="Times New Roman" w:cs="Times New Roman"/>
                <w:b/>
                <w:sz w:val="28"/>
                <w:szCs w:val="28"/>
              </w:rPr>
              <w:t>ий</w:t>
            </w:r>
            <w:r w:rsidRPr="006E481F">
              <w:rPr>
                <w:rFonts w:ascii="Times New Roman" w:hAnsi="Times New Roman" w:cs="Times New Roman"/>
                <w:b/>
                <w:sz w:val="28"/>
                <w:szCs w:val="28"/>
              </w:rPr>
              <w:t xml:space="preserve"> депутат України</w:t>
            </w:r>
          </w:p>
        </w:tc>
        <w:tc>
          <w:tcPr>
            <w:tcW w:w="8222" w:type="dxa"/>
          </w:tcPr>
          <w:p w:rsidR="00A021CB" w:rsidRPr="006E481F" w:rsidRDefault="00A021CB" w:rsidP="00A04CC4">
            <w:pPr>
              <w:spacing w:after="120"/>
              <w:ind w:left="3006" w:hanging="1486"/>
              <w:jc w:val="right"/>
              <w:rPr>
                <w:rFonts w:ascii="Times New Roman" w:hAnsi="Times New Roman" w:cs="Times New Roman"/>
                <w:b/>
                <w:sz w:val="28"/>
                <w:szCs w:val="28"/>
              </w:rPr>
            </w:pPr>
            <w:r w:rsidRPr="006E481F">
              <w:rPr>
                <w:rFonts w:ascii="Times New Roman" w:hAnsi="Times New Roman" w:cs="Times New Roman"/>
                <w:b/>
                <w:sz w:val="28"/>
                <w:szCs w:val="28"/>
              </w:rPr>
              <w:t>Д.О. Гетманцев</w:t>
            </w:r>
          </w:p>
          <w:p w:rsidR="00A021CB" w:rsidRPr="006E481F" w:rsidRDefault="00A021CB" w:rsidP="00A04CC4">
            <w:pPr>
              <w:spacing w:after="120"/>
              <w:ind w:left="3006" w:hanging="1486"/>
              <w:jc w:val="right"/>
              <w:rPr>
                <w:rFonts w:ascii="Times New Roman" w:hAnsi="Times New Roman" w:cs="Times New Roman"/>
                <w:b/>
                <w:sz w:val="28"/>
                <w:szCs w:val="28"/>
              </w:rPr>
            </w:pPr>
          </w:p>
          <w:p w:rsidR="00A021CB" w:rsidRPr="006E481F" w:rsidRDefault="00A021CB" w:rsidP="00A04CC4">
            <w:pPr>
              <w:ind w:left="3005" w:hanging="3801"/>
              <w:jc w:val="right"/>
              <w:rPr>
                <w:rFonts w:ascii="Times New Roman" w:hAnsi="Times New Roman" w:cs="Times New Roman"/>
                <w:b/>
                <w:sz w:val="28"/>
                <w:szCs w:val="28"/>
              </w:rPr>
            </w:pPr>
            <w:r w:rsidRPr="006E481F">
              <w:rPr>
                <w:rFonts w:ascii="Times New Roman" w:hAnsi="Times New Roman" w:cs="Times New Roman"/>
                <w:b/>
                <w:sz w:val="28"/>
                <w:szCs w:val="28"/>
              </w:rPr>
              <w:t>та інші народні депутати України</w:t>
            </w:r>
          </w:p>
        </w:tc>
      </w:tr>
    </w:tbl>
    <w:p w:rsidR="00A021CB" w:rsidRPr="00A021CB" w:rsidRDefault="00A021CB" w:rsidP="0081575E">
      <w:pPr>
        <w:rPr>
          <w:rFonts w:ascii="Times New Roman" w:hAnsi="Times New Roman" w:cs="Times New Roman"/>
          <w:b/>
          <w:sz w:val="28"/>
          <w:szCs w:val="28"/>
        </w:rPr>
      </w:pPr>
    </w:p>
    <w:sectPr w:rsidR="00A021CB" w:rsidRPr="00A021CB" w:rsidSect="00CE316D">
      <w:headerReference w:type="default" r:id="rId12"/>
      <w:pgSz w:w="16838" w:h="11906" w:orient="landscape"/>
      <w:pgMar w:top="1135" w:right="1134" w:bottom="85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565E" w:rsidRDefault="00D1565E" w:rsidP="00CE316D">
      <w:pPr>
        <w:spacing w:after="0" w:line="240" w:lineRule="auto"/>
      </w:pPr>
      <w:r>
        <w:separator/>
      </w:r>
    </w:p>
  </w:endnote>
  <w:endnote w:type="continuationSeparator" w:id="0">
    <w:p w:rsidR="00D1565E" w:rsidRDefault="00D1565E" w:rsidP="00CE3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565E" w:rsidRDefault="00D1565E" w:rsidP="00CE316D">
      <w:pPr>
        <w:spacing w:after="0" w:line="240" w:lineRule="auto"/>
      </w:pPr>
      <w:r>
        <w:separator/>
      </w:r>
    </w:p>
  </w:footnote>
  <w:footnote w:type="continuationSeparator" w:id="0">
    <w:p w:rsidR="00D1565E" w:rsidRDefault="00D1565E" w:rsidP="00CE31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1381343"/>
      <w:docPartObj>
        <w:docPartGallery w:val="Page Numbers (Top of Page)"/>
        <w:docPartUnique/>
      </w:docPartObj>
    </w:sdtPr>
    <w:sdtEndPr/>
    <w:sdtContent>
      <w:p w:rsidR="00CE316D" w:rsidRDefault="00CE316D">
        <w:pPr>
          <w:pStyle w:val="a5"/>
          <w:jc w:val="center"/>
        </w:pPr>
        <w:r>
          <w:fldChar w:fldCharType="begin"/>
        </w:r>
        <w:r>
          <w:instrText>PAGE   \* MERGEFORMAT</w:instrText>
        </w:r>
        <w:r>
          <w:fldChar w:fldCharType="separate"/>
        </w:r>
        <w:r w:rsidR="00F822A3" w:rsidRPr="00F822A3">
          <w:rPr>
            <w:noProof/>
            <w:lang w:val="uk-UA"/>
          </w:rPr>
          <w:t>2</w:t>
        </w:r>
        <w:r>
          <w:fldChar w:fldCharType="end"/>
        </w:r>
      </w:p>
    </w:sdtContent>
  </w:sdt>
  <w:p w:rsidR="00CE316D" w:rsidRDefault="00CE316D">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75E"/>
    <w:rsid w:val="00363BDC"/>
    <w:rsid w:val="00372298"/>
    <w:rsid w:val="00415E85"/>
    <w:rsid w:val="004F6E89"/>
    <w:rsid w:val="00734A42"/>
    <w:rsid w:val="0081575E"/>
    <w:rsid w:val="00A021CB"/>
    <w:rsid w:val="00B00678"/>
    <w:rsid w:val="00C328F8"/>
    <w:rsid w:val="00C84DF5"/>
    <w:rsid w:val="00CE316D"/>
    <w:rsid w:val="00D1565E"/>
    <w:rsid w:val="00DC5DD8"/>
    <w:rsid w:val="00E70275"/>
    <w:rsid w:val="00ED5C70"/>
    <w:rsid w:val="00F822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4308CD-95D9-4B90-91AA-2DEFEB108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157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E702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E70275"/>
  </w:style>
  <w:style w:type="character" w:styleId="a4">
    <w:name w:val="Hyperlink"/>
    <w:basedOn w:val="a0"/>
    <w:uiPriority w:val="99"/>
    <w:semiHidden/>
    <w:unhideWhenUsed/>
    <w:rsid w:val="00E70275"/>
    <w:rPr>
      <w:color w:val="0000FF"/>
      <w:u w:val="single"/>
    </w:rPr>
  </w:style>
  <w:style w:type="paragraph" w:styleId="a5">
    <w:name w:val="header"/>
    <w:basedOn w:val="a"/>
    <w:link w:val="a6"/>
    <w:uiPriority w:val="99"/>
    <w:unhideWhenUsed/>
    <w:rsid w:val="00CE316D"/>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CE316D"/>
  </w:style>
  <w:style w:type="paragraph" w:styleId="a7">
    <w:name w:val="footer"/>
    <w:basedOn w:val="a"/>
    <w:link w:val="a8"/>
    <w:uiPriority w:val="99"/>
    <w:unhideWhenUsed/>
    <w:rsid w:val="00CE316D"/>
    <w:pPr>
      <w:tabs>
        <w:tab w:val="center" w:pos="4819"/>
        <w:tab w:val="right" w:pos="9639"/>
      </w:tabs>
      <w:spacing w:after="0" w:line="240" w:lineRule="auto"/>
    </w:pPr>
  </w:style>
  <w:style w:type="character" w:customStyle="1" w:styleId="a8">
    <w:name w:val="Нижній колонтитул Знак"/>
    <w:basedOn w:val="a0"/>
    <w:link w:val="a7"/>
    <w:uiPriority w:val="99"/>
    <w:rsid w:val="00CE31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3631297">
      <w:bodyDiv w:val="1"/>
      <w:marLeft w:val="0"/>
      <w:marRight w:val="0"/>
      <w:marTop w:val="0"/>
      <w:marBottom w:val="0"/>
      <w:divBdr>
        <w:top w:val="none" w:sz="0" w:space="0" w:color="auto"/>
        <w:left w:val="none" w:sz="0" w:space="0" w:color="auto"/>
        <w:bottom w:val="none" w:sz="0" w:space="0" w:color="auto"/>
        <w:right w:val="none" w:sz="0" w:space="0" w:color="auto"/>
      </w:divBdr>
    </w:div>
    <w:div w:id="156332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v0013500-19" TargetMode="External"/><Relationship Id="rId5" Type="http://schemas.openxmlformats.org/officeDocument/2006/relationships/settings" Target="settings.xml"/><Relationship Id="rId10" Type="http://schemas.openxmlformats.org/officeDocument/2006/relationships/hyperlink" Target="https://zakon.rada.gov.ua/laws/show/v0013500-19" TargetMode="External"/><Relationship Id="rId4" Type="http://schemas.openxmlformats.org/officeDocument/2006/relationships/styles" Target="styles.xml"/><Relationship Id="rId9" Type="http://schemas.openxmlformats.org/officeDocument/2006/relationships/hyperlink" Target="https://zakon.rada.gov.ua/laws/show/361-2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84A3B8-96EC-4D53-BC4E-9FA3726109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CD2610-891B-4759-8FBC-64A003EA4620}">
  <ds:schemaRefs>
    <ds:schemaRef ds:uri="http://schemas.microsoft.com/sharepoint/v3/contenttype/forms"/>
  </ds:schemaRefs>
</ds:datastoreItem>
</file>

<file path=customXml/itemProps3.xml><?xml version="1.0" encoding="utf-8"?>
<ds:datastoreItem xmlns:ds="http://schemas.openxmlformats.org/officeDocument/2006/customXml" ds:itemID="{053274A8-9CC7-4EF5-A1B1-9F3ADB83D7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1842</Words>
  <Characters>1051</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2021-08-18T11:59:00Z</dcterms:created>
  <dcterms:modified xsi:type="dcterms:W3CDTF">2021-08-18T11:59:00Z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