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430AF" w:rsidRDefault="004430AF" w:rsidP="006B74A0">
      <w:pPr>
        <w:jc w:val="center"/>
        <w:rPr>
          <w:b/>
          <w:szCs w:val="20"/>
          <w:lang w:val="uk-UA"/>
        </w:rPr>
      </w:pPr>
      <w:bookmarkStart w:id="0" w:name="_GoBack"/>
      <w:bookmarkEnd w:id="0"/>
    </w:p>
    <w:p w:rsidR="004430AF" w:rsidRDefault="004430AF" w:rsidP="006B74A0">
      <w:pPr>
        <w:jc w:val="center"/>
        <w:rPr>
          <w:b/>
          <w:szCs w:val="20"/>
          <w:lang w:val="uk-UA"/>
        </w:rPr>
      </w:pPr>
    </w:p>
    <w:p w:rsidR="0049371F" w:rsidRDefault="0049371F" w:rsidP="006B74A0">
      <w:pPr>
        <w:jc w:val="center"/>
        <w:rPr>
          <w:b/>
          <w:szCs w:val="20"/>
          <w:lang w:val="uk-UA"/>
        </w:rPr>
      </w:pPr>
    </w:p>
    <w:p w:rsidR="002F36F1" w:rsidRDefault="002F36F1" w:rsidP="006B74A0">
      <w:pPr>
        <w:jc w:val="center"/>
        <w:rPr>
          <w:b/>
          <w:szCs w:val="20"/>
          <w:lang w:val="uk-UA"/>
        </w:rPr>
      </w:pPr>
    </w:p>
    <w:p w:rsidR="002F36F1" w:rsidRDefault="002F36F1" w:rsidP="006B74A0">
      <w:pPr>
        <w:jc w:val="center"/>
        <w:rPr>
          <w:b/>
          <w:szCs w:val="20"/>
          <w:lang w:val="uk-UA"/>
        </w:rPr>
      </w:pPr>
    </w:p>
    <w:p w:rsidR="002F36F1" w:rsidRDefault="002F36F1" w:rsidP="006B74A0">
      <w:pPr>
        <w:jc w:val="center"/>
        <w:rPr>
          <w:b/>
          <w:szCs w:val="20"/>
          <w:lang w:val="uk-UA"/>
        </w:rPr>
      </w:pPr>
    </w:p>
    <w:p w:rsidR="002F36F1" w:rsidRDefault="002F36F1" w:rsidP="006B74A0">
      <w:pPr>
        <w:jc w:val="center"/>
        <w:rPr>
          <w:b/>
          <w:szCs w:val="20"/>
          <w:lang w:val="uk-UA"/>
        </w:rPr>
      </w:pPr>
    </w:p>
    <w:p w:rsidR="002F36F1" w:rsidRDefault="002F36F1" w:rsidP="006B74A0">
      <w:pPr>
        <w:jc w:val="center"/>
        <w:rPr>
          <w:b/>
          <w:szCs w:val="20"/>
          <w:lang w:val="uk-UA"/>
        </w:rPr>
      </w:pPr>
    </w:p>
    <w:p w:rsidR="004430AF" w:rsidRDefault="004430AF" w:rsidP="006B74A0">
      <w:pPr>
        <w:jc w:val="center"/>
        <w:rPr>
          <w:b/>
          <w:szCs w:val="20"/>
          <w:lang w:val="uk-UA"/>
        </w:rPr>
      </w:pPr>
    </w:p>
    <w:p w:rsidR="00F03619" w:rsidRPr="005C38E1" w:rsidRDefault="00F03619" w:rsidP="006B74A0">
      <w:pPr>
        <w:jc w:val="center"/>
        <w:rPr>
          <w:b/>
          <w:szCs w:val="20"/>
          <w:lang w:val="uk-UA"/>
        </w:rPr>
      </w:pPr>
      <w:r w:rsidRPr="005C38E1">
        <w:rPr>
          <w:b/>
          <w:szCs w:val="20"/>
          <w:lang w:val="uk-UA"/>
        </w:rPr>
        <w:t>ВИСНОВОК</w:t>
      </w:r>
    </w:p>
    <w:p w:rsidR="00F03619" w:rsidRPr="005C38E1" w:rsidRDefault="00F03619" w:rsidP="006B74A0">
      <w:pPr>
        <w:jc w:val="center"/>
        <w:rPr>
          <w:b/>
          <w:bCs/>
          <w:szCs w:val="20"/>
          <w:lang w:val="uk-UA"/>
        </w:rPr>
      </w:pPr>
      <w:r w:rsidRPr="005C38E1">
        <w:rPr>
          <w:b/>
          <w:szCs w:val="20"/>
          <w:lang w:val="uk-UA"/>
        </w:rPr>
        <w:t>на проект Закону України «</w:t>
      </w:r>
      <w:r w:rsidR="00125564">
        <w:rPr>
          <w:b/>
          <w:szCs w:val="20"/>
          <w:lang w:val="uk-UA"/>
        </w:rPr>
        <w:t>П</w:t>
      </w:r>
      <w:r w:rsidR="005C38E1" w:rsidRPr="005C38E1">
        <w:rPr>
          <w:b/>
          <w:szCs w:val="20"/>
          <w:lang w:val="uk-UA"/>
        </w:rPr>
        <w:t>ро внесення змі</w:t>
      </w:r>
      <w:r w:rsidR="00055502">
        <w:rPr>
          <w:b/>
          <w:szCs w:val="20"/>
          <w:lang w:val="uk-UA"/>
        </w:rPr>
        <w:t>ни до статті 11 Закону України «</w:t>
      </w:r>
      <w:r w:rsidR="005C38E1" w:rsidRPr="005C38E1">
        <w:rPr>
          <w:b/>
          <w:szCs w:val="20"/>
          <w:lang w:val="uk-UA"/>
        </w:rPr>
        <w:t>Про валюту і валютні операції</w:t>
      </w:r>
      <w:r w:rsidR="00055502">
        <w:rPr>
          <w:b/>
          <w:szCs w:val="20"/>
          <w:lang w:val="uk-UA"/>
        </w:rPr>
        <w:t>»</w:t>
      </w:r>
      <w:r w:rsidR="005C38E1" w:rsidRPr="005C38E1">
        <w:rPr>
          <w:b/>
          <w:szCs w:val="20"/>
          <w:lang w:val="uk-UA"/>
        </w:rPr>
        <w:t xml:space="preserve"> щодо виконання банками функцій агентів валютного нагляду</w:t>
      </w:r>
      <w:r w:rsidRPr="005C38E1">
        <w:rPr>
          <w:b/>
          <w:bCs/>
          <w:szCs w:val="20"/>
          <w:lang w:val="uk-UA"/>
        </w:rPr>
        <w:t>»</w:t>
      </w:r>
    </w:p>
    <w:p w:rsidR="006B74A0" w:rsidRDefault="006B74A0" w:rsidP="006B74A0">
      <w:pPr>
        <w:tabs>
          <w:tab w:val="left" w:pos="1134"/>
        </w:tabs>
        <w:ind w:firstLine="709"/>
        <w:rPr>
          <w:color w:val="FF0000"/>
          <w:lang w:val="uk-UA"/>
        </w:rPr>
      </w:pPr>
    </w:p>
    <w:p w:rsidR="00805F6F" w:rsidRPr="00535AFF" w:rsidRDefault="00F03619" w:rsidP="006B74A0">
      <w:pPr>
        <w:tabs>
          <w:tab w:val="left" w:pos="1134"/>
        </w:tabs>
        <w:ind w:firstLine="709"/>
        <w:rPr>
          <w:spacing w:val="-6"/>
          <w:szCs w:val="28"/>
          <w:lang w:val="uk-UA"/>
        </w:rPr>
      </w:pPr>
      <w:r w:rsidRPr="00535AFF">
        <w:rPr>
          <w:spacing w:val="-6"/>
          <w:lang w:val="uk-UA"/>
        </w:rPr>
        <w:t xml:space="preserve">У проекті шляхом </w:t>
      </w:r>
      <w:r w:rsidR="00087A2D" w:rsidRPr="00535AFF">
        <w:rPr>
          <w:spacing w:val="-6"/>
          <w:lang w:val="uk-UA"/>
        </w:rPr>
        <w:t xml:space="preserve">доповнення </w:t>
      </w:r>
      <w:r w:rsidR="006932BE">
        <w:rPr>
          <w:spacing w:val="-6"/>
          <w:lang w:val="uk-UA"/>
        </w:rPr>
        <w:t>ч. 7 ст. </w:t>
      </w:r>
      <w:r w:rsidR="00805F6F" w:rsidRPr="00535AFF">
        <w:rPr>
          <w:spacing w:val="-6"/>
          <w:lang w:val="uk-UA"/>
        </w:rPr>
        <w:t>11</w:t>
      </w:r>
      <w:r w:rsidRPr="00535AFF">
        <w:rPr>
          <w:spacing w:val="-6"/>
          <w:lang w:val="uk-UA"/>
        </w:rPr>
        <w:t xml:space="preserve"> Закону України «</w:t>
      </w:r>
      <w:r w:rsidR="00805F6F" w:rsidRPr="00535AFF">
        <w:rPr>
          <w:spacing w:val="-6"/>
          <w:lang w:val="uk-UA"/>
        </w:rPr>
        <w:t>Про валюту і валютні операції</w:t>
      </w:r>
      <w:r w:rsidRPr="00535AFF">
        <w:rPr>
          <w:spacing w:val="-6"/>
          <w:szCs w:val="28"/>
          <w:lang w:val="uk-UA"/>
        </w:rPr>
        <w:t>» (далі – Закон) пропонується встановити,</w:t>
      </w:r>
      <w:r w:rsidR="00805F6F" w:rsidRPr="00535AFF">
        <w:rPr>
          <w:spacing w:val="-6"/>
          <w:szCs w:val="28"/>
          <w:lang w:val="uk-UA"/>
        </w:rPr>
        <w:t xml:space="preserve"> що «</w:t>
      </w:r>
      <w:r w:rsidR="006B74A0" w:rsidRPr="00535AFF">
        <w:rPr>
          <w:spacing w:val="-6"/>
          <w:szCs w:val="28"/>
          <w:lang w:val="uk-UA"/>
        </w:rPr>
        <w:t>б</w:t>
      </w:r>
      <w:r w:rsidR="00805F6F" w:rsidRPr="00535AFF">
        <w:rPr>
          <w:spacing w:val="-6"/>
          <w:lang w:val="uk-UA"/>
        </w:rPr>
        <w:t>анки обмінюються інформацією про належність рахунків клієнтів до банківських рахунків, відкритих нерезидентам, з метою здійснення валютного нагляду за валютними операціями, що здійснюються їх клієнтами через ці банки</w:t>
      </w:r>
      <w:r w:rsidR="00D92E04" w:rsidRPr="00535AFF">
        <w:rPr>
          <w:spacing w:val="-6"/>
          <w:lang w:val="uk-UA"/>
        </w:rPr>
        <w:t xml:space="preserve">. </w:t>
      </w:r>
      <w:r w:rsidR="00D92E04" w:rsidRPr="00535AFF">
        <w:rPr>
          <w:lang w:val="uk-UA"/>
        </w:rPr>
        <w:t>Національний банк України встановлює порядок ведення та використання банками записів реєстру рахунків інформаційної системи, що забезпечує збирання, накопичення, зберігання, доступ та використання банками інформації про належність рахунків до банківських рахунків, відкритих нерезидентам</w:t>
      </w:r>
      <w:r w:rsidR="006B74A0" w:rsidRPr="00535AFF">
        <w:rPr>
          <w:spacing w:val="-6"/>
          <w:lang w:val="uk-UA"/>
        </w:rPr>
        <w:t>»</w:t>
      </w:r>
      <w:r w:rsidR="00D92E04" w:rsidRPr="00535AFF">
        <w:rPr>
          <w:spacing w:val="-6"/>
          <w:lang w:val="uk-UA"/>
        </w:rPr>
        <w:t>.</w:t>
      </w:r>
    </w:p>
    <w:p w:rsidR="004F697E" w:rsidRDefault="004F697E" w:rsidP="00F03619">
      <w:pPr>
        <w:tabs>
          <w:tab w:val="left" w:pos="1134"/>
        </w:tabs>
        <w:ind w:firstLine="709"/>
        <w:rPr>
          <w:spacing w:val="-6"/>
          <w:lang w:val="uk-UA"/>
        </w:rPr>
      </w:pPr>
      <w:r>
        <w:rPr>
          <w:spacing w:val="-6"/>
          <w:lang w:val="uk-UA"/>
        </w:rPr>
        <w:t>За змістом</w:t>
      </w:r>
      <w:r w:rsidR="008D1ED7" w:rsidRPr="00535AFF">
        <w:rPr>
          <w:spacing w:val="-6"/>
          <w:lang w:val="uk-UA"/>
        </w:rPr>
        <w:t xml:space="preserve"> пояснювальної записки до </w:t>
      </w:r>
      <w:r>
        <w:rPr>
          <w:spacing w:val="-6"/>
          <w:lang w:val="uk-UA"/>
        </w:rPr>
        <w:t>проекту необхідність пропонованих змін обґрунтовується, зокрема, тим, що «</w:t>
      </w:r>
      <w:r w:rsidRPr="004F697E">
        <w:rPr>
          <w:spacing w:val="-6"/>
          <w:lang w:val="uk-UA"/>
        </w:rPr>
        <w:t xml:space="preserve">відповідно до валютного законодавства платіжні операції в гривнях за участі нерезидентів належать до валютних операцій. Проте, відомості щодо рахунку, відкритого в банку, в частині належності власника рахунку до резидентів чи нерезидентів не є інформацією </w:t>
      </w:r>
      <w:r>
        <w:rPr>
          <w:spacing w:val="-6"/>
          <w:lang w:val="uk-UA"/>
        </w:rPr>
        <w:t>про валютні операції».</w:t>
      </w:r>
    </w:p>
    <w:p w:rsidR="00F03619" w:rsidRPr="00535AFF" w:rsidRDefault="00F03619" w:rsidP="00F03619">
      <w:pPr>
        <w:tabs>
          <w:tab w:val="left" w:pos="1134"/>
        </w:tabs>
        <w:ind w:firstLine="709"/>
        <w:rPr>
          <w:lang w:val="uk-UA"/>
        </w:rPr>
      </w:pPr>
      <w:r w:rsidRPr="00535AFF">
        <w:rPr>
          <w:lang w:val="uk-UA"/>
        </w:rPr>
        <w:t>Проект на момент підготовки висновку не включений до Плану</w:t>
      </w:r>
      <w:r w:rsidR="00296721">
        <w:rPr>
          <w:lang w:val="uk-UA"/>
        </w:rPr>
        <w:t xml:space="preserve"> </w:t>
      </w:r>
      <w:r w:rsidRPr="00535AFF">
        <w:rPr>
          <w:lang w:val="uk-UA"/>
        </w:rPr>
        <w:t>законопроектної роботи Верховної Ради України на 2021 рік, затвердженого постановою Верховної Ради України від 02.02.2021 № 1165-ІХ.</w:t>
      </w:r>
    </w:p>
    <w:p w:rsidR="002F36F1" w:rsidRDefault="009E3944" w:rsidP="000D7369">
      <w:pPr>
        <w:tabs>
          <w:tab w:val="left" w:pos="1134"/>
        </w:tabs>
        <w:ind w:firstLine="709"/>
        <w:rPr>
          <w:szCs w:val="28"/>
          <w:lang w:val="uk-UA"/>
        </w:rPr>
      </w:pPr>
      <w:r w:rsidRPr="00535AFF">
        <w:rPr>
          <w:szCs w:val="28"/>
          <w:lang w:val="uk-UA"/>
        </w:rPr>
        <w:t xml:space="preserve">Головне управління, </w:t>
      </w:r>
      <w:r w:rsidR="004F697E">
        <w:rPr>
          <w:szCs w:val="28"/>
          <w:lang w:val="uk-UA"/>
        </w:rPr>
        <w:t xml:space="preserve">розглянувши проект, </w:t>
      </w:r>
      <w:r w:rsidR="002F36F1">
        <w:rPr>
          <w:szCs w:val="28"/>
          <w:lang w:val="uk-UA"/>
        </w:rPr>
        <w:t>вважає за доцільне зауважити таке.</w:t>
      </w:r>
    </w:p>
    <w:p w:rsidR="002F36F1" w:rsidRPr="004636D3" w:rsidRDefault="007B5FD4" w:rsidP="002F36F1">
      <w:pPr>
        <w:tabs>
          <w:tab w:val="left" w:pos="1134"/>
        </w:tabs>
        <w:ind w:firstLine="709"/>
        <w:rPr>
          <w:spacing w:val="-6"/>
          <w:lang w:val="uk-UA"/>
        </w:rPr>
      </w:pPr>
      <w:r>
        <w:rPr>
          <w:spacing w:val="-6"/>
          <w:szCs w:val="20"/>
          <w:lang w:val="uk-UA" w:eastAsia="uk-UA"/>
        </w:rPr>
        <w:t xml:space="preserve">Викладена у пропонованій редакції </w:t>
      </w:r>
      <w:r w:rsidR="002F36F1" w:rsidRPr="008A10F8">
        <w:rPr>
          <w:spacing w:val="-6"/>
          <w:szCs w:val="20"/>
          <w:lang w:val="uk-UA" w:eastAsia="uk-UA"/>
        </w:rPr>
        <w:t>норма</w:t>
      </w:r>
      <w:r w:rsidR="002F36F1">
        <w:rPr>
          <w:spacing w:val="-6"/>
          <w:szCs w:val="20"/>
          <w:lang w:val="uk-UA" w:eastAsia="uk-UA"/>
        </w:rPr>
        <w:t xml:space="preserve">, на наш погляд, </w:t>
      </w:r>
      <w:r>
        <w:rPr>
          <w:spacing w:val="-6"/>
          <w:szCs w:val="20"/>
          <w:lang w:val="uk-UA" w:eastAsia="uk-UA"/>
        </w:rPr>
        <w:t xml:space="preserve">виглядає вразливою з точки зору відповідності </w:t>
      </w:r>
      <w:r w:rsidR="002F36F1" w:rsidRPr="008A10F8">
        <w:rPr>
          <w:spacing w:val="-6"/>
          <w:szCs w:val="20"/>
          <w:lang w:val="uk-UA" w:eastAsia="uk-UA"/>
        </w:rPr>
        <w:t>принципу правової визначеності</w:t>
      </w:r>
      <w:r w:rsidR="002F36F1">
        <w:rPr>
          <w:spacing w:val="-6"/>
          <w:szCs w:val="20"/>
          <w:lang w:val="uk-UA" w:eastAsia="uk-UA"/>
        </w:rPr>
        <w:t xml:space="preserve">. Так, </w:t>
      </w:r>
      <w:r w:rsidR="002F36F1" w:rsidRPr="008A10F8">
        <w:rPr>
          <w:spacing w:val="-6"/>
          <w:szCs w:val="20"/>
          <w:lang w:val="uk-UA" w:eastAsia="uk-UA"/>
        </w:rPr>
        <w:t>ви</w:t>
      </w:r>
      <w:r w:rsidR="002F36F1">
        <w:rPr>
          <w:spacing w:val="-6"/>
          <w:szCs w:val="20"/>
          <w:lang w:val="uk-UA" w:eastAsia="uk-UA"/>
        </w:rPr>
        <w:t>никає питання щодо,</w:t>
      </w:r>
      <w:r w:rsidR="002F36F1" w:rsidRPr="008A10F8">
        <w:rPr>
          <w:spacing w:val="-6"/>
          <w:szCs w:val="20"/>
          <w:lang w:val="uk-UA" w:eastAsia="uk-UA"/>
        </w:rPr>
        <w:t xml:space="preserve"> власне</w:t>
      </w:r>
      <w:r w:rsidR="002F36F1">
        <w:rPr>
          <w:spacing w:val="-6"/>
          <w:szCs w:val="20"/>
          <w:lang w:val="uk-UA" w:eastAsia="uk-UA"/>
        </w:rPr>
        <w:t>,</w:t>
      </w:r>
      <w:r w:rsidR="002F36F1" w:rsidRPr="008A10F8">
        <w:rPr>
          <w:spacing w:val="-6"/>
          <w:szCs w:val="20"/>
          <w:lang w:val="uk-UA" w:eastAsia="uk-UA"/>
        </w:rPr>
        <w:t xml:space="preserve"> механізм</w:t>
      </w:r>
      <w:r w:rsidR="002F36F1">
        <w:rPr>
          <w:spacing w:val="-6"/>
          <w:szCs w:val="20"/>
          <w:lang w:val="uk-UA" w:eastAsia="uk-UA"/>
        </w:rPr>
        <w:t>у</w:t>
      </w:r>
      <w:r w:rsidR="002F36F1" w:rsidRPr="008A10F8">
        <w:rPr>
          <w:spacing w:val="-6"/>
          <w:szCs w:val="20"/>
          <w:lang w:val="uk-UA" w:eastAsia="uk-UA"/>
        </w:rPr>
        <w:t xml:space="preserve"> отримання інформації про належність рахунків клієнтів до банківських рахунків, відкритих нерезидентам, оскільки одночасно йдеться про </w:t>
      </w:r>
      <w:r w:rsidR="002F36F1">
        <w:rPr>
          <w:spacing w:val="-6"/>
          <w:szCs w:val="20"/>
          <w:lang w:val="uk-UA" w:eastAsia="uk-UA"/>
        </w:rPr>
        <w:t xml:space="preserve">приписи, які змістовно не пов’язані між собою: у першому реченні – про </w:t>
      </w:r>
      <w:r w:rsidR="002F36F1" w:rsidRPr="008A10F8">
        <w:rPr>
          <w:i/>
          <w:spacing w:val="-6"/>
          <w:szCs w:val="20"/>
          <w:lang w:val="uk-UA" w:eastAsia="uk-UA"/>
        </w:rPr>
        <w:t>міжбанківський</w:t>
      </w:r>
      <w:r w:rsidR="002F36F1" w:rsidRPr="008A10F8">
        <w:rPr>
          <w:spacing w:val="-6"/>
          <w:szCs w:val="20"/>
          <w:lang w:val="uk-UA" w:eastAsia="uk-UA"/>
        </w:rPr>
        <w:t xml:space="preserve"> обмін </w:t>
      </w:r>
      <w:r w:rsidR="002F36F1">
        <w:rPr>
          <w:spacing w:val="-6"/>
          <w:szCs w:val="20"/>
          <w:lang w:val="uk-UA" w:eastAsia="uk-UA"/>
        </w:rPr>
        <w:t xml:space="preserve">відповідною </w:t>
      </w:r>
      <w:r w:rsidR="002F36F1" w:rsidRPr="008A10F8">
        <w:rPr>
          <w:spacing w:val="-6"/>
          <w:szCs w:val="20"/>
          <w:lang w:val="uk-UA" w:eastAsia="uk-UA"/>
        </w:rPr>
        <w:t>інформацією</w:t>
      </w:r>
      <w:r w:rsidR="002F36F1">
        <w:rPr>
          <w:spacing w:val="-6"/>
          <w:szCs w:val="20"/>
          <w:lang w:val="uk-UA" w:eastAsia="uk-UA"/>
        </w:rPr>
        <w:t>, у другому – про «</w:t>
      </w:r>
      <w:r w:rsidR="002F36F1" w:rsidRPr="008A10F8">
        <w:rPr>
          <w:spacing w:val="-6"/>
          <w:szCs w:val="20"/>
          <w:lang w:val="uk-UA" w:eastAsia="uk-UA"/>
        </w:rPr>
        <w:t xml:space="preserve">ведення та використання банками записів реєстру рахунків інформаційної системи, що забезпечує збирання, накопичення, зберігання, доступ та </w:t>
      </w:r>
      <w:r w:rsidR="002F36F1" w:rsidRPr="008A10F8">
        <w:rPr>
          <w:i/>
          <w:spacing w:val="-6"/>
          <w:szCs w:val="20"/>
          <w:lang w:val="uk-UA" w:eastAsia="uk-UA"/>
        </w:rPr>
        <w:t xml:space="preserve">використання </w:t>
      </w:r>
      <w:r w:rsidR="002F36F1" w:rsidRPr="008A10F8">
        <w:rPr>
          <w:i/>
          <w:spacing w:val="-6"/>
          <w:szCs w:val="20"/>
          <w:u w:val="single"/>
          <w:lang w:val="uk-UA" w:eastAsia="uk-UA"/>
        </w:rPr>
        <w:t>банкам</w:t>
      </w:r>
      <w:r w:rsidR="002F36F1" w:rsidRPr="008A10F8">
        <w:rPr>
          <w:i/>
          <w:spacing w:val="-6"/>
          <w:szCs w:val="20"/>
          <w:lang w:val="uk-UA" w:eastAsia="uk-UA"/>
        </w:rPr>
        <w:t>и</w:t>
      </w:r>
      <w:r w:rsidR="002F36F1" w:rsidRPr="008A10F8">
        <w:rPr>
          <w:spacing w:val="-6"/>
          <w:szCs w:val="20"/>
          <w:lang w:val="uk-UA" w:eastAsia="uk-UA"/>
        </w:rPr>
        <w:t xml:space="preserve"> інформації про належність рахунків до банківських рахунків, відкритих нерезидентам</w:t>
      </w:r>
      <w:r w:rsidR="002F36F1">
        <w:rPr>
          <w:spacing w:val="-6"/>
          <w:szCs w:val="20"/>
          <w:lang w:val="uk-UA" w:eastAsia="uk-UA"/>
        </w:rPr>
        <w:t xml:space="preserve">». При цьому, неясно, чи йдеться про один реєстр для всіх банків, створення кожним банком власного реєстру або ж надання доступу банку до реєстру </w:t>
      </w:r>
      <w:r w:rsidR="002F36F1">
        <w:rPr>
          <w:spacing w:val="-6"/>
          <w:szCs w:val="20"/>
          <w:lang w:val="uk-UA" w:eastAsia="uk-UA"/>
        </w:rPr>
        <w:lastRenderedPageBreak/>
        <w:t>іншого банку. Зазначене може як негативно вплинути на ефективність здійснення валютного нагляду банками, так і містить ризики використання отриманої інформації банками для цілей, що не стосуються валютного нагляду.</w:t>
      </w:r>
      <w:r>
        <w:rPr>
          <w:spacing w:val="-6"/>
          <w:szCs w:val="20"/>
          <w:lang w:val="uk-UA" w:eastAsia="uk-UA"/>
        </w:rPr>
        <w:t xml:space="preserve"> Відповідно, </w:t>
      </w:r>
      <w:r w:rsidRPr="004636D3">
        <w:rPr>
          <w:spacing w:val="-6"/>
          <w:szCs w:val="20"/>
          <w:lang w:val="uk-UA" w:eastAsia="uk-UA"/>
        </w:rPr>
        <w:t>пропонована норма, на нашу думку, потребує належного коригування.</w:t>
      </w:r>
    </w:p>
    <w:p w:rsidR="004636D3" w:rsidRPr="00FB705F" w:rsidRDefault="004636D3" w:rsidP="004636D3">
      <w:pPr>
        <w:pStyle w:val="af"/>
        <w:shd w:val="clear" w:color="auto" w:fill="FFFFFF"/>
        <w:tabs>
          <w:tab w:val="left" w:pos="1069"/>
          <w:tab w:val="left" w:pos="1134"/>
          <w:tab w:val="left" w:pos="1418"/>
          <w:tab w:val="left" w:pos="1832"/>
          <w:tab w:val="left" w:pos="2127"/>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textAlignment w:val="baseline"/>
        <w:rPr>
          <w:rStyle w:val="rvts0"/>
          <w:szCs w:val="28"/>
          <w:lang w:val="uk-UA"/>
        </w:rPr>
      </w:pPr>
      <w:r w:rsidRPr="004636D3">
        <w:rPr>
          <w:szCs w:val="28"/>
          <w:lang w:val="uk-UA" w:eastAsia="uk-UA"/>
        </w:rPr>
        <w:t xml:space="preserve">Зважаючи на те, що </w:t>
      </w:r>
      <w:r w:rsidR="00375748">
        <w:rPr>
          <w:szCs w:val="28"/>
          <w:lang w:val="uk-UA" w:eastAsia="uk-UA"/>
        </w:rPr>
        <w:t>«</w:t>
      </w:r>
      <w:r w:rsidRPr="004636D3">
        <w:rPr>
          <w:rStyle w:val="rvts0"/>
          <w:szCs w:val="28"/>
          <w:lang w:val="uk-UA"/>
        </w:rPr>
        <w:t xml:space="preserve">Національний банк у межах своїх повноважень </w:t>
      </w:r>
      <w:r w:rsidRPr="00FB705F">
        <w:rPr>
          <w:rStyle w:val="rvts0"/>
          <w:szCs w:val="28"/>
          <w:lang w:val="uk-UA"/>
        </w:rPr>
        <w:t>сприяє … стабільності банківської системи …» (ст. 6 Закону</w:t>
      </w:r>
      <w:r w:rsidR="00375748" w:rsidRPr="00FB705F">
        <w:rPr>
          <w:rStyle w:val="rvts0"/>
          <w:szCs w:val="28"/>
          <w:lang w:val="uk-UA"/>
        </w:rPr>
        <w:t xml:space="preserve"> України </w:t>
      </w:r>
      <w:r w:rsidR="0023103D" w:rsidRPr="00FB705F">
        <w:rPr>
          <w:rStyle w:val="rvts0"/>
          <w:szCs w:val="28"/>
          <w:lang w:val="uk-UA"/>
        </w:rPr>
        <w:br/>
      </w:r>
      <w:r w:rsidR="00375748" w:rsidRPr="00FB705F">
        <w:rPr>
          <w:rStyle w:val="rvts0"/>
          <w:szCs w:val="28"/>
          <w:lang w:val="uk-UA"/>
        </w:rPr>
        <w:t>«Про Національний банк України»</w:t>
      </w:r>
      <w:r w:rsidRPr="00FB705F">
        <w:rPr>
          <w:rStyle w:val="rvts0"/>
          <w:szCs w:val="28"/>
          <w:lang w:val="uk-UA"/>
        </w:rPr>
        <w:t xml:space="preserve">), «здійснює валютне регулювання, визначає порядок виконання операцій в іноземній валюті, організовує і здійснює валютний нагляд за уповноваженими установами» (п. 14 ст. 7 </w:t>
      </w:r>
      <w:r w:rsidR="00375748" w:rsidRPr="00FB705F">
        <w:rPr>
          <w:rStyle w:val="rvts0"/>
          <w:szCs w:val="28"/>
          <w:lang w:val="uk-UA"/>
        </w:rPr>
        <w:t xml:space="preserve">цього ж </w:t>
      </w:r>
      <w:r w:rsidRPr="00FB705F">
        <w:rPr>
          <w:rStyle w:val="rvts0"/>
          <w:szCs w:val="28"/>
          <w:lang w:val="uk-UA"/>
        </w:rPr>
        <w:t>Закону), вбачається доцільним щодо внесеного проекту отримати експертний висновок Н</w:t>
      </w:r>
      <w:r w:rsidR="00375748" w:rsidRPr="00FB705F">
        <w:rPr>
          <w:rStyle w:val="rvts0"/>
          <w:szCs w:val="28"/>
          <w:lang w:val="uk-UA"/>
        </w:rPr>
        <w:t>аціонального банку України</w:t>
      </w:r>
      <w:r w:rsidRPr="00FB705F">
        <w:rPr>
          <w:rStyle w:val="rvts0"/>
          <w:szCs w:val="28"/>
          <w:lang w:val="uk-UA"/>
        </w:rPr>
        <w:t>.</w:t>
      </w:r>
    </w:p>
    <w:p w:rsidR="0014267E" w:rsidRPr="004636D3" w:rsidRDefault="002F36F1" w:rsidP="000D7369">
      <w:pPr>
        <w:tabs>
          <w:tab w:val="left" w:pos="1134"/>
        </w:tabs>
        <w:ind w:firstLine="709"/>
        <w:rPr>
          <w:lang w:val="uk-UA"/>
        </w:rPr>
      </w:pPr>
      <w:r w:rsidRPr="00FB705F">
        <w:rPr>
          <w:szCs w:val="28"/>
          <w:lang w:val="uk-UA"/>
        </w:rPr>
        <w:t>О</w:t>
      </w:r>
      <w:r w:rsidR="0014267E" w:rsidRPr="00FB705F">
        <w:rPr>
          <w:szCs w:val="28"/>
          <w:lang w:val="uk-UA"/>
        </w:rPr>
        <w:t>скільки</w:t>
      </w:r>
      <w:r w:rsidR="007B5FD4" w:rsidRPr="00FB705F">
        <w:rPr>
          <w:szCs w:val="28"/>
          <w:lang w:val="uk-UA"/>
        </w:rPr>
        <w:t xml:space="preserve"> внесений проект</w:t>
      </w:r>
      <w:r w:rsidR="007B5FD4" w:rsidRPr="004636D3">
        <w:rPr>
          <w:szCs w:val="28"/>
          <w:lang w:val="uk-UA"/>
        </w:rPr>
        <w:t xml:space="preserve"> </w:t>
      </w:r>
      <w:r w:rsidR="0014267E" w:rsidRPr="004636D3">
        <w:rPr>
          <w:szCs w:val="28"/>
          <w:lang w:val="uk-UA"/>
        </w:rPr>
        <w:t>системно пов’язаний з проектом Закону України «</w:t>
      </w:r>
      <w:r w:rsidR="0014267E" w:rsidRPr="004636D3">
        <w:rPr>
          <w:lang w:val="uk-UA"/>
        </w:rPr>
        <w:t>Про внесення змін до деяких законів України щодо окремих питань діяльності</w:t>
      </w:r>
      <w:r w:rsidR="0014267E" w:rsidRPr="00535AFF">
        <w:rPr>
          <w:lang w:val="uk-UA"/>
        </w:rPr>
        <w:t xml:space="preserve"> Національного банку України</w:t>
      </w:r>
      <w:r w:rsidR="0014267E" w:rsidRPr="00535AFF">
        <w:rPr>
          <w:szCs w:val="28"/>
          <w:lang w:val="uk-UA"/>
        </w:rPr>
        <w:t xml:space="preserve">» (реєстр. № 5850 від 17.08.2021), рішення </w:t>
      </w:r>
      <w:r w:rsidR="0049371F">
        <w:rPr>
          <w:szCs w:val="28"/>
          <w:lang w:val="uk-UA"/>
        </w:rPr>
        <w:t xml:space="preserve">щодо </w:t>
      </w:r>
      <w:r w:rsidR="0049371F" w:rsidRPr="004636D3">
        <w:rPr>
          <w:szCs w:val="28"/>
          <w:lang w:val="uk-UA"/>
        </w:rPr>
        <w:t xml:space="preserve">нього </w:t>
      </w:r>
      <w:r w:rsidR="0014267E" w:rsidRPr="004636D3">
        <w:rPr>
          <w:szCs w:val="28"/>
          <w:lang w:val="uk-UA"/>
        </w:rPr>
        <w:t>має прийматися за результатами розгляду проекту реєстр. № 5850</w:t>
      </w:r>
      <w:r w:rsidR="0014267E" w:rsidRPr="004636D3">
        <w:rPr>
          <w:szCs w:val="28"/>
          <w:lang w:val="uk-UA" w:eastAsia="uk-UA"/>
        </w:rPr>
        <w:t>.</w:t>
      </w:r>
    </w:p>
    <w:p w:rsidR="004636D3" w:rsidRDefault="004636D3" w:rsidP="00F03619">
      <w:pPr>
        <w:ind w:firstLine="708"/>
        <w:rPr>
          <w:szCs w:val="20"/>
          <w:lang w:val="uk-UA" w:eastAsia="uk-UA"/>
        </w:rPr>
      </w:pPr>
    </w:p>
    <w:p w:rsidR="004636D3" w:rsidRPr="00535AFF" w:rsidRDefault="004636D3" w:rsidP="00F03619">
      <w:pPr>
        <w:ind w:firstLine="708"/>
        <w:rPr>
          <w:szCs w:val="20"/>
          <w:lang w:val="uk-UA" w:eastAsia="uk-UA"/>
        </w:rPr>
      </w:pPr>
    </w:p>
    <w:p w:rsidR="00F03619" w:rsidRPr="00535AFF" w:rsidRDefault="00F03619" w:rsidP="00F03619">
      <w:pPr>
        <w:ind w:firstLine="708"/>
        <w:rPr>
          <w:szCs w:val="20"/>
          <w:lang w:val="uk-UA" w:eastAsia="uk-UA"/>
        </w:rPr>
      </w:pPr>
      <w:r w:rsidRPr="00535AFF">
        <w:rPr>
          <w:szCs w:val="20"/>
          <w:lang w:val="uk-UA" w:eastAsia="uk-UA"/>
        </w:rPr>
        <w:t>Керівник Головного управління</w:t>
      </w:r>
      <w:r w:rsidRPr="00535AFF">
        <w:rPr>
          <w:szCs w:val="20"/>
          <w:lang w:val="uk-UA" w:eastAsia="uk-UA"/>
        </w:rPr>
        <w:tab/>
      </w:r>
      <w:r w:rsidRPr="00535AFF">
        <w:rPr>
          <w:szCs w:val="20"/>
          <w:lang w:val="uk-UA" w:eastAsia="uk-UA"/>
        </w:rPr>
        <w:tab/>
      </w:r>
      <w:r w:rsidRPr="00535AFF">
        <w:rPr>
          <w:szCs w:val="20"/>
          <w:lang w:val="uk-UA" w:eastAsia="uk-UA"/>
        </w:rPr>
        <w:tab/>
      </w:r>
      <w:r w:rsidRPr="00535AFF">
        <w:rPr>
          <w:szCs w:val="20"/>
          <w:lang w:val="uk-UA" w:eastAsia="uk-UA"/>
        </w:rPr>
        <w:tab/>
      </w:r>
      <w:r w:rsidRPr="00535AFF">
        <w:rPr>
          <w:szCs w:val="20"/>
          <w:lang w:val="uk-UA" w:eastAsia="uk-UA"/>
        </w:rPr>
        <w:tab/>
        <w:t>С. Тихонюк</w:t>
      </w:r>
    </w:p>
    <w:p w:rsidR="00F03619" w:rsidRPr="00535AFF" w:rsidRDefault="00F03619" w:rsidP="00F03619">
      <w:pPr>
        <w:ind w:firstLine="709"/>
        <w:rPr>
          <w:sz w:val="24"/>
          <w:szCs w:val="20"/>
          <w:lang w:val="uk-UA" w:eastAsia="uk-UA"/>
        </w:rPr>
      </w:pPr>
    </w:p>
    <w:p w:rsidR="00F03619" w:rsidRPr="00535AFF" w:rsidRDefault="00F03619" w:rsidP="00F03619">
      <w:pPr>
        <w:ind w:firstLine="709"/>
        <w:rPr>
          <w:sz w:val="24"/>
          <w:szCs w:val="20"/>
          <w:lang w:val="uk-UA" w:eastAsia="uk-UA"/>
        </w:rPr>
      </w:pPr>
    </w:p>
    <w:p w:rsidR="0006034B" w:rsidRDefault="00F03619" w:rsidP="0006034B">
      <w:pPr>
        <w:tabs>
          <w:tab w:val="left" w:pos="1134"/>
        </w:tabs>
        <w:ind w:firstLine="709"/>
        <w:rPr>
          <w:spacing w:val="-6"/>
          <w:szCs w:val="20"/>
          <w:lang w:val="uk-UA" w:eastAsia="uk-UA"/>
        </w:rPr>
      </w:pPr>
      <w:proofErr w:type="spellStart"/>
      <w:r w:rsidRPr="00535AFF">
        <w:rPr>
          <w:sz w:val="20"/>
          <w:szCs w:val="20"/>
          <w:lang w:val="uk-UA" w:eastAsia="uk-UA"/>
        </w:rPr>
        <w:t>Вик</w:t>
      </w:r>
      <w:proofErr w:type="spellEnd"/>
      <w:r w:rsidRPr="00535AFF">
        <w:rPr>
          <w:sz w:val="20"/>
          <w:szCs w:val="20"/>
          <w:lang w:val="uk-UA" w:eastAsia="uk-UA"/>
        </w:rPr>
        <w:t>.: Я. Бережний</w:t>
      </w:r>
      <w:r w:rsidR="0006034B" w:rsidRPr="0006034B">
        <w:rPr>
          <w:spacing w:val="-6"/>
          <w:szCs w:val="20"/>
          <w:lang w:val="uk-UA" w:eastAsia="uk-UA"/>
        </w:rPr>
        <w:t xml:space="preserve"> </w:t>
      </w:r>
    </w:p>
    <w:sectPr w:rsidR="0006034B" w:rsidSect="000328ED">
      <w:headerReference w:type="even" r:id="rId8"/>
      <w:headerReference w:type="default" r:id="rId9"/>
      <w:headerReference w:type="first" r:id="rId10"/>
      <w:pgSz w:w="11906" w:h="16838"/>
      <w:pgMar w:top="1134" w:right="567" w:bottom="1134" w:left="1701" w:header="709" w:footer="709"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52EFF" w:rsidRDefault="00B52EFF">
      <w:r>
        <w:separator/>
      </w:r>
    </w:p>
  </w:endnote>
  <w:endnote w:type="continuationSeparator" w:id="0">
    <w:p w:rsidR="00B52EFF" w:rsidRDefault="00B52E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ntiqua">
    <w:altName w:val="Yu Gothic"/>
    <w:panose1 w:val="00000000000000000000"/>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52EFF" w:rsidRDefault="00B52EFF">
      <w:r>
        <w:separator/>
      </w:r>
    </w:p>
  </w:footnote>
  <w:footnote w:type="continuationSeparator" w:id="0">
    <w:p w:rsidR="00B52EFF" w:rsidRDefault="00B52EF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71C4" w:rsidRDefault="00A147FF" w:rsidP="000E363C">
    <w:pPr>
      <w:pStyle w:val="a3"/>
      <w:framePr w:wrap="around" w:vAnchor="text" w:hAnchor="margin" w:xAlign="center" w:y="1"/>
      <w:rPr>
        <w:rStyle w:val="a4"/>
        <w:rFonts w:eastAsia="Calibri"/>
      </w:rPr>
    </w:pPr>
    <w:r>
      <w:rPr>
        <w:rStyle w:val="a4"/>
        <w:rFonts w:eastAsia="Calibri"/>
      </w:rPr>
      <w:fldChar w:fldCharType="begin"/>
    </w:r>
    <w:r w:rsidR="00EF71C4">
      <w:rPr>
        <w:rStyle w:val="a4"/>
        <w:rFonts w:eastAsia="Calibri"/>
      </w:rPr>
      <w:instrText xml:space="preserve">PAGE  </w:instrText>
    </w:r>
    <w:r>
      <w:rPr>
        <w:rStyle w:val="a4"/>
        <w:rFonts w:eastAsia="Calibri"/>
      </w:rPr>
      <w:fldChar w:fldCharType="end"/>
    </w:r>
  </w:p>
  <w:p w:rsidR="00EF71C4" w:rsidRDefault="00EF71C4">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71C4" w:rsidRDefault="00A147FF" w:rsidP="000E363C">
    <w:pPr>
      <w:pStyle w:val="a3"/>
      <w:framePr w:wrap="around" w:vAnchor="text" w:hAnchor="margin" w:xAlign="center" w:y="1"/>
      <w:rPr>
        <w:rStyle w:val="a4"/>
        <w:rFonts w:eastAsia="Calibri"/>
      </w:rPr>
    </w:pPr>
    <w:r>
      <w:rPr>
        <w:rStyle w:val="a4"/>
        <w:rFonts w:eastAsia="Calibri"/>
      </w:rPr>
      <w:fldChar w:fldCharType="begin"/>
    </w:r>
    <w:r w:rsidR="00EF71C4">
      <w:rPr>
        <w:rStyle w:val="a4"/>
        <w:rFonts w:eastAsia="Calibri"/>
      </w:rPr>
      <w:instrText xml:space="preserve">PAGE  </w:instrText>
    </w:r>
    <w:r>
      <w:rPr>
        <w:rStyle w:val="a4"/>
        <w:rFonts w:eastAsia="Calibri"/>
      </w:rPr>
      <w:fldChar w:fldCharType="separate"/>
    </w:r>
    <w:r w:rsidR="00E14219">
      <w:rPr>
        <w:rStyle w:val="a4"/>
        <w:rFonts w:eastAsia="Calibri"/>
        <w:noProof/>
      </w:rPr>
      <w:t>2</w:t>
    </w:r>
    <w:r>
      <w:rPr>
        <w:rStyle w:val="a4"/>
        <w:rFonts w:eastAsia="Calibri"/>
      </w:rPr>
      <w:fldChar w:fldCharType="end"/>
    </w:r>
  </w:p>
  <w:p w:rsidR="00EF71C4" w:rsidRDefault="00EF71C4">
    <w:pPr>
      <w:pStyle w:val="a3"/>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03619" w:rsidRPr="00F017E1" w:rsidRDefault="00984FD6" w:rsidP="00F03619">
    <w:pPr>
      <w:jc w:val="right"/>
      <w:rPr>
        <w:sz w:val="20"/>
        <w:szCs w:val="20"/>
        <w:lang w:val="uk-UA"/>
      </w:rPr>
    </w:pPr>
    <w:r w:rsidRPr="00F017E1">
      <w:rPr>
        <w:sz w:val="20"/>
        <w:szCs w:val="20"/>
        <w:lang w:val="uk-UA"/>
      </w:rPr>
      <w:t xml:space="preserve">До реєстр. № </w:t>
    </w:r>
    <w:r w:rsidR="005C38E1" w:rsidRPr="005C38E1">
      <w:rPr>
        <w:sz w:val="20"/>
        <w:szCs w:val="20"/>
        <w:lang w:val="uk-UA"/>
      </w:rPr>
      <w:t>5851 від 17.08.2021</w:t>
    </w:r>
  </w:p>
  <w:p w:rsidR="00F03619" w:rsidRPr="00F017E1" w:rsidRDefault="00F03619" w:rsidP="00F03619">
    <w:pPr>
      <w:jc w:val="right"/>
      <w:rPr>
        <w:lang w:val="uk-UA"/>
      </w:rPr>
    </w:pPr>
    <w:r w:rsidRPr="00F017E1">
      <w:rPr>
        <w:sz w:val="20"/>
        <w:szCs w:val="20"/>
        <w:lang w:val="uk-UA"/>
      </w:rPr>
      <w:t>Народні депутати України</w:t>
    </w:r>
  </w:p>
  <w:p w:rsidR="00984FD6" w:rsidRPr="00F03619" w:rsidRDefault="00140F61" w:rsidP="00984FD6">
    <w:pPr>
      <w:jc w:val="right"/>
      <w:rPr>
        <w:sz w:val="20"/>
        <w:szCs w:val="20"/>
        <w:lang w:val="uk-UA"/>
      </w:rPr>
    </w:pPr>
    <w:r>
      <w:rPr>
        <w:sz w:val="20"/>
        <w:szCs w:val="20"/>
        <w:lang w:val="uk-UA"/>
      </w:rPr>
      <w:t>Д</w:t>
    </w:r>
    <w:r w:rsidR="00F03619" w:rsidRPr="00F017E1">
      <w:rPr>
        <w:sz w:val="20"/>
        <w:szCs w:val="20"/>
        <w:lang w:val="uk-UA"/>
      </w:rPr>
      <w:t xml:space="preserve">. </w:t>
    </w:r>
    <w:proofErr w:type="spellStart"/>
    <w:r>
      <w:rPr>
        <w:sz w:val="20"/>
        <w:szCs w:val="20"/>
        <w:lang w:val="uk-UA"/>
      </w:rPr>
      <w:t>Гетманцев</w:t>
    </w:r>
    <w:proofErr w:type="spellEnd"/>
    <w:r w:rsidR="00F03619" w:rsidRPr="00F017E1">
      <w:rPr>
        <w:sz w:val="20"/>
        <w:szCs w:val="20"/>
        <w:lang w:val="uk-UA"/>
      </w:rPr>
      <w:t xml:space="preserve"> та інші</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3B5F32"/>
    <w:multiLevelType w:val="hybridMultilevel"/>
    <w:tmpl w:val="0B76F700"/>
    <w:lvl w:ilvl="0" w:tplc="805A7ECC">
      <w:start w:val="2"/>
      <w:numFmt w:val="decimal"/>
      <w:lvlText w:val="%1."/>
      <w:lvlJc w:val="left"/>
      <w:pPr>
        <w:ind w:left="720" w:hanging="360"/>
      </w:pPr>
      <w:rPr>
        <w:rFonts w:hint="default"/>
        <w:b/>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 w15:restartNumberingAfterBreak="0">
    <w:nsid w:val="34026A58"/>
    <w:multiLevelType w:val="hybridMultilevel"/>
    <w:tmpl w:val="3E56D406"/>
    <w:lvl w:ilvl="0" w:tplc="AEE637FC">
      <w:start w:val="1"/>
      <w:numFmt w:val="decimal"/>
      <w:lvlText w:val="%1)"/>
      <w:lvlJc w:val="left"/>
      <w:pPr>
        <w:tabs>
          <w:tab w:val="num" w:pos="1884"/>
        </w:tabs>
        <w:ind w:left="1884" w:hanging="1176"/>
      </w:pPr>
      <w:rPr>
        <w:rFonts w:cs="Times New Roman" w:hint="default"/>
      </w:rPr>
    </w:lvl>
    <w:lvl w:ilvl="1" w:tplc="04190019">
      <w:start w:val="1"/>
      <w:numFmt w:val="lowerLetter"/>
      <w:lvlText w:val="%2."/>
      <w:lvlJc w:val="left"/>
      <w:pPr>
        <w:tabs>
          <w:tab w:val="num" w:pos="1788"/>
        </w:tabs>
        <w:ind w:left="1788" w:hanging="360"/>
      </w:pPr>
      <w:rPr>
        <w:rFonts w:cs="Times New Roman"/>
      </w:rPr>
    </w:lvl>
    <w:lvl w:ilvl="2" w:tplc="0419001B">
      <w:start w:val="1"/>
      <w:numFmt w:val="lowerRoman"/>
      <w:lvlText w:val="%3."/>
      <w:lvlJc w:val="right"/>
      <w:pPr>
        <w:tabs>
          <w:tab w:val="num" w:pos="2508"/>
        </w:tabs>
        <w:ind w:left="2508" w:hanging="180"/>
      </w:pPr>
      <w:rPr>
        <w:rFonts w:cs="Times New Roman"/>
      </w:rPr>
    </w:lvl>
    <w:lvl w:ilvl="3" w:tplc="0419000F">
      <w:start w:val="1"/>
      <w:numFmt w:val="decimal"/>
      <w:lvlText w:val="%4."/>
      <w:lvlJc w:val="left"/>
      <w:pPr>
        <w:tabs>
          <w:tab w:val="num" w:pos="3228"/>
        </w:tabs>
        <w:ind w:left="3228" w:hanging="360"/>
      </w:pPr>
      <w:rPr>
        <w:rFonts w:cs="Times New Roman"/>
      </w:rPr>
    </w:lvl>
    <w:lvl w:ilvl="4" w:tplc="04190019">
      <w:start w:val="1"/>
      <w:numFmt w:val="lowerLetter"/>
      <w:lvlText w:val="%5."/>
      <w:lvlJc w:val="left"/>
      <w:pPr>
        <w:tabs>
          <w:tab w:val="num" w:pos="3948"/>
        </w:tabs>
        <w:ind w:left="3948" w:hanging="360"/>
      </w:pPr>
      <w:rPr>
        <w:rFonts w:cs="Times New Roman"/>
      </w:rPr>
    </w:lvl>
    <w:lvl w:ilvl="5" w:tplc="0419001B">
      <w:start w:val="1"/>
      <w:numFmt w:val="lowerRoman"/>
      <w:lvlText w:val="%6."/>
      <w:lvlJc w:val="right"/>
      <w:pPr>
        <w:tabs>
          <w:tab w:val="num" w:pos="4668"/>
        </w:tabs>
        <w:ind w:left="4668" w:hanging="180"/>
      </w:pPr>
      <w:rPr>
        <w:rFonts w:cs="Times New Roman"/>
      </w:rPr>
    </w:lvl>
    <w:lvl w:ilvl="6" w:tplc="0419000F">
      <w:start w:val="1"/>
      <w:numFmt w:val="decimal"/>
      <w:lvlText w:val="%7."/>
      <w:lvlJc w:val="left"/>
      <w:pPr>
        <w:tabs>
          <w:tab w:val="num" w:pos="5388"/>
        </w:tabs>
        <w:ind w:left="5388" w:hanging="360"/>
      </w:pPr>
      <w:rPr>
        <w:rFonts w:cs="Times New Roman"/>
      </w:rPr>
    </w:lvl>
    <w:lvl w:ilvl="7" w:tplc="04190019">
      <w:start w:val="1"/>
      <w:numFmt w:val="lowerLetter"/>
      <w:lvlText w:val="%8."/>
      <w:lvlJc w:val="left"/>
      <w:pPr>
        <w:tabs>
          <w:tab w:val="num" w:pos="6108"/>
        </w:tabs>
        <w:ind w:left="6108" w:hanging="360"/>
      </w:pPr>
      <w:rPr>
        <w:rFonts w:cs="Times New Roman"/>
      </w:rPr>
    </w:lvl>
    <w:lvl w:ilvl="8" w:tplc="0419001B">
      <w:start w:val="1"/>
      <w:numFmt w:val="lowerRoman"/>
      <w:lvlText w:val="%9."/>
      <w:lvlJc w:val="right"/>
      <w:pPr>
        <w:tabs>
          <w:tab w:val="num" w:pos="6828"/>
        </w:tabs>
        <w:ind w:left="6828" w:hanging="180"/>
      </w:pPr>
      <w:rPr>
        <w:rFonts w:cs="Times New Roman"/>
      </w:rPr>
    </w:lvl>
  </w:abstractNum>
  <w:abstractNum w:abstractNumId="2" w15:restartNumberingAfterBreak="0">
    <w:nsid w:val="707A38CE"/>
    <w:multiLevelType w:val="hybridMultilevel"/>
    <w:tmpl w:val="D78CAFE6"/>
    <w:lvl w:ilvl="0" w:tplc="90360876">
      <w:start w:val="1"/>
      <w:numFmt w:val="decimal"/>
      <w:lvlText w:val="%1."/>
      <w:lvlJc w:val="left"/>
      <w:pPr>
        <w:ind w:left="1069" w:hanging="360"/>
      </w:pPr>
      <w:rPr>
        <w:rFonts w:hint="default"/>
        <w:b/>
        <w:i w:val="0"/>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3" w15:restartNumberingAfterBreak="0">
    <w:nsid w:val="79186757"/>
    <w:multiLevelType w:val="hybridMultilevel"/>
    <w:tmpl w:val="7578E5A6"/>
    <w:lvl w:ilvl="0" w:tplc="D6843EA0">
      <w:start w:val="1"/>
      <w:numFmt w:val="decimal"/>
      <w:lvlText w:val="%1."/>
      <w:lvlJc w:val="left"/>
      <w:pPr>
        <w:ind w:left="1069" w:hanging="360"/>
      </w:pPr>
      <w:rPr>
        <w:rFonts w:hint="default"/>
        <w:b/>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363C"/>
    <w:rsid w:val="000301F2"/>
    <w:rsid w:val="000328ED"/>
    <w:rsid w:val="0005477A"/>
    <w:rsid w:val="00055502"/>
    <w:rsid w:val="0006034B"/>
    <w:rsid w:val="00061495"/>
    <w:rsid w:val="00067ADC"/>
    <w:rsid w:val="00074CE4"/>
    <w:rsid w:val="0008236E"/>
    <w:rsid w:val="000855EA"/>
    <w:rsid w:val="00085D66"/>
    <w:rsid w:val="00087A2D"/>
    <w:rsid w:val="000D7369"/>
    <w:rsid w:val="000E363C"/>
    <w:rsid w:val="000F6192"/>
    <w:rsid w:val="001101A0"/>
    <w:rsid w:val="00117B03"/>
    <w:rsid w:val="0012303F"/>
    <w:rsid w:val="00125564"/>
    <w:rsid w:val="00140F61"/>
    <w:rsid w:val="00142109"/>
    <w:rsid w:val="0014267E"/>
    <w:rsid w:val="0014720F"/>
    <w:rsid w:val="001478DC"/>
    <w:rsid w:val="001648C0"/>
    <w:rsid w:val="001749BA"/>
    <w:rsid w:val="00194491"/>
    <w:rsid w:val="00204D4D"/>
    <w:rsid w:val="00215AA8"/>
    <w:rsid w:val="002212C1"/>
    <w:rsid w:val="0023103D"/>
    <w:rsid w:val="00234B38"/>
    <w:rsid w:val="002401F8"/>
    <w:rsid w:val="00244528"/>
    <w:rsid w:val="00271853"/>
    <w:rsid w:val="0029176E"/>
    <w:rsid w:val="00296721"/>
    <w:rsid w:val="002F36F1"/>
    <w:rsid w:val="003668F2"/>
    <w:rsid w:val="0037514B"/>
    <w:rsid w:val="00375748"/>
    <w:rsid w:val="003B6A32"/>
    <w:rsid w:val="003E2FB9"/>
    <w:rsid w:val="00442749"/>
    <w:rsid w:val="004430AF"/>
    <w:rsid w:val="00454C10"/>
    <w:rsid w:val="004636D3"/>
    <w:rsid w:val="00471FC9"/>
    <w:rsid w:val="00481A3C"/>
    <w:rsid w:val="0049371F"/>
    <w:rsid w:val="004A010F"/>
    <w:rsid w:val="004A6729"/>
    <w:rsid w:val="004E06DB"/>
    <w:rsid w:val="004F697E"/>
    <w:rsid w:val="00511908"/>
    <w:rsid w:val="005130ED"/>
    <w:rsid w:val="00523EAD"/>
    <w:rsid w:val="00535AFF"/>
    <w:rsid w:val="00547C77"/>
    <w:rsid w:val="00567772"/>
    <w:rsid w:val="005918AF"/>
    <w:rsid w:val="005959B6"/>
    <w:rsid w:val="005C33B1"/>
    <w:rsid w:val="005C38E1"/>
    <w:rsid w:val="005D1601"/>
    <w:rsid w:val="005D53DA"/>
    <w:rsid w:val="005D6D81"/>
    <w:rsid w:val="005E398D"/>
    <w:rsid w:val="005E73DD"/>
    <w:rsid w:val="006613CE"/>
    <w:rsid w:val="00662B33"/>
    <w:rsid w:val="006932BE"/>
    <w:rsid w:val="00697CBD"/>
    <w:rsid w:val="006A42F7"/>
    <w:rsid w:val="006B3BDC"/>
    <w:rsid w:val="006B74A0"/>
    <w:rsid w:val="00737EC0"/>
    <w:rsid w:val="00780EED"/>
    <w:rsid w:val="007B5FD4"/>
    <w:rsid w:val="007C540E"/>
    <w:rsid w:val="007F37EA"/>
    <w:rsid w:val="00805F6F"/>
    <w:rsid w:val="00816949"/>
    <w:rsid w:val="00826EBC"/>
    <w:rsid w:val="0083737E"/>
    <w:rsid w:val="008524C3"/>
    <w:rsid w:val="00853D11"/>
    <w:rsid w:val="00866416"/>
    <w:rsid w:val="00885CA8"/>
    <w:rsid w:val="008A1BE8"/>
    <w:rsid w:val="008D1ED7"/>
    <w:rsid w:val="0094403B"/>
    <w:rsid w:val="00954971"/>
    <w:rsid w:val="00974370"/>
    <w:rsid w:val="00977655"/>
    <w:rsid w:val="00984FD6"/>
    <w:rsid w:val="009C2C0F"/>
    <w:rsid w:val="009E3944"/>
    <w:rsid w:val="009F1907"/>
    <w:rsid w:val="00A10ABE"/>
    <w:rsid w:val="00A147FF"/>
    <w:rsid w:val="00A357BE"/>
    <w:rsid w:val="00A61129"/>
    <w:rsid w:val="00A75C9A"/>
    <w:rsid w:val="00A96E3D"/>
    <w:rsid w:val="00AA5B06"/>
    <w:rsid w:val="00AC0E85"/>
    <w:rsid w:val="00B36880"/>
    <w:rsid w:val="00B52EFF"/>
    <w:rsid w:val="00B53DED"/>
    <w:rsid w:val="00B60F9C"/>
    <w:rsid w:val="00B63D04"/>
    <w:rsid w:val="00BC6D1F"/>
    <w:rsid w:val="00C52B70"/>
    <w:rsid w:val="00C637CA"/>
    <w:rsid w:val="00C76D73"/>
    <w:rsid w:val="00C77391"/>
    <w:rsid w:val="00C81B44"/>
    <w:rsid w:val="00C84D23"/>
    <w:rsid w:val="00C9579D"/>
    <w:rsid w:val="00CE2822"/>
    <w:rsid w:val="00CF1D7E"/>
    <w:rsid w:val="00D45288"/>
    <w:rsid w:val="00D5487B"/>
    <w:rsid w:val="00D92E04"/>
    <w:rsid w:val="00DA26DF"/>
    <w:rsid w:val="00DB4B7A"/>
    <w:rsid w:val="00DC1C1B"/>
    <w:rsid w:val="00DC2378"/>
    <w:rsid w:val="00E070C9"/>
    <w:rsid w:val="00E14219"/>
    <w:rsid w:val="00E351DB"/>
    <w:rsid w:val="00E7525A"/>
    <w:rsid w:val="00E9462B"/>
    <w:rsid w:val="00EA42EC"/>
    <w:rsid w:val="00EA5723"/>
    <w:rsid w:val="00EE18F1"/>
    <w:rsid w:val="00EF1D72"/>
    <w:rsid w:val="00EF372D"/>
    <w:rsid w:val="00EF71C4"/>
    <w:rsid w:val="00F017E1"/>
    <w:rsid w:val="00F03619"/>
    <w:rsid w:val="00F12CD8"/>
    <w:rsid w:val="00F57905"/>
    <w:rsid w:val="00F67B3E"/>
    <w:rsid w:val="00F90500"/>
    <w:rsid w:val="00F912DD"/>
    <w:rsid w:val="00FA3AED"/>
    <w:rsid w:val="00FB705F"/>
    <w:rsid w:val="00FC06C9"/>
    <w:rsid w:val="00FC3D4D"/>
  </w:rsids>
  <m:mathPr>
    <m:mathFont m:val="Cambria Math"/>
    <m:brkBin m:val="before"/>
    <m:brkBinSub m:val="--"/>
    <m:smallFrac/>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E363C"/>
    <w:pPr>
      <w:jc w:val="both"/>
    </w:pPr>
    <w:rPr>
      <w:sz w:val="28"/>
      <w:szCs w:val="22"/>
      <w:lang w:val="ru-RU" w:eastAsia="en-US"/>
    </w:rPr>
  </w:style>
  <w:style w:type="paragraph" w:styleId="3">
    <w:name w:val="heading 3"/>
    <w:basedOn w:val="a"/>
    <w:qFormat/>
    <w:rsid w:val="00117B03"/>
    <w:pPr>
      <w:spacing w:before="100" w:beforeAutospacing="1" w:after="100" w:afterAutospacing="1"/>
      <w:jc w:val="left"/>
      <w:outlineLvl w:val="2"/>
    </w:pPr>
    <w:rPr>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rvts0">
    <w:name w:val="rvts0"/>
    <w:rsid w:val="000E363C"/>
  </w:style>
  <w:style w:type="paragraph" w:customStyle="1" w:styleId="1">
    <w:name w:val="Без интервала1"/>
    <w:rsid w:val="000E363C"/>
    <w:rPr>
      <w:rFonts w:ascii="Calibri" w:eastAsia="Calibri" w:hAnsi="Calibri"/>
      <w:sz w:val="22"/>
      <w:szCs w:val="22"/>
    </w:rPr>
  </w:style>
  <w:style w:type="paragraph" w:customStyle="1" w:styleId="ParagraphStyle">
    <w:name w:val="Paragraph Style"/>
    <w:rsid w:val="000E363C"/>
    <w:pPr>
      <w:autoSpaceDE w:val="0"/>
      <w:autoSpaceDN w:val="0"/>
      <w:adjustRightInd w:val="0"/>
    </w:pPr>
    <w:rPr>
      <w:rFonts w:ascii="Courier New" w:hAnsi="Courier New"/>
      <w:sz w:val="24"/>
      <w:szCs w:val="24"/>
      <w:lang w:val="ru-RU" w:eastAsia="ru-RU"/>
    </w:rPr>
  </w:style>
  <w:style w:type="paragraph" w:styleId="a3">
    <w:name w:val="header"/>
    <w:basedOn w:val="a"/>
    <w:rsid w:val="000E363C"/>
    <w:pPr>
      <w:tabs>
        <w:tab w:val="center" w:pos="4677"/>
        <w:tab w:val="right" w:pos="9355"/>
      </w:tabs>
    </w:pPr>
  </w:style>
  <w:style w:type="character" w:styleId="a4">
    <w:name w:val="page number"/>
    <w:basedOn w:val="a0"/>
    <w:rsid w:val="000E363C"/>
  </w:style>
  <w:style w:type="paragraph" w:styleId="a5">
    <w:name w:val="Normal (Web)"/>
    <w:basedOn w:val="a"/>
    <w:rsid w:val="000E363C"/>
    <w:pPr>
      <w:spacing w:before="100" w:beforeAutospacing="1" w:after="100" w:afterAutospacing="1"/>
      <w:jc w:val="left"/>
    </w:pPr>
    <w:rPr>
      <w:sz w:val="24"/>
      <w:szCs w:val="24"/>
      <w:lang w:eastAsia="ru-RU"/>
    </w:rPr>
  </w:style>
  <w:style w:type="paragraph" w:customStyle="1" w:styleId="a6">
    <w:name w:val="Назва документа"/>
    <w:basedOn w:val="a"/>
    <w:next w:val="a"/>
    <w:link w:val="a7"/>
    <w:rsid w:val="000E363C"/>
    <w:pPr>
      <w:keepNext/>
      <w:keepLines/>
      <w:spacing w:before="360" w:after="360"/>
      <w:jc w:val="center"/>
    </w:pPr>
    <w:rPr>
      <w:rFonts w:ascii="Antiqua" w:eastAsia="Calibri" w:hAnsi="Antiqua"/>
      <w:b/>
      <w:sz w:val="26"/>
      <w:szCs w:val="20"/>
      <w:lang w:eastAsia="ru-RU"/>
    </w:rPr>
  </w:style>
  <w:style w:type="character" w:customStyle="1" w:styleId="a7">
    <w:name w:val="Назва документа Знак"/>
    <w:link w:val="a6"/>
    <w:locked/>
    <w:rsid w:val="000E363C"/>
    <w:rPr>
      <w:rFonts w:ascii="Antiqua" w:eastAsia="Calibri" w:hAnsi="Antiqua"/>
      <w:b/>
      <w:sz w:val="26"/>
      <w:lang w:val="ru-RU" w:eastAsia="ru-RU" w:bidi="ar-SA"/>
    </w:rPr>
  </w:style>
  <w:style w:type="paragraph" w:styleId="HTML">
    <w:name w:val="HTML Preformatted"/>
    <w:basedOn w:val="a"/>
    <w:link w:val="HTML0"/>
    <w:rsid w:val="000E36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eastAsia="Calibri" w:hAnsi="Courier New"/>
      <w:sz w:val="20"/>
      <w:szCs w:val="20"/>
      <w:lang w:eastAsia="uk-UA"/>
    </w:rPr>
  </w:style>
  <w:style w:type="character" w:customStyle="1" w:styleId="HTML0">
    <w:name w:val="Стандартний HTML Знак"/>
    <w:link w:val="HTML"/>
    <w:locked/>
    <w:rsid w:val="000E363C"/>
    <w:rPr>
      <w:rFonts w:ascii="Courier New" w:eastAsia="Calibri" w:hAnsi="Courier New"/>
      <w:lang w:val="ru-RU" w:eastAsia="uk-UA" w:bidi="ar-SA"/>
    </w:rPr>
  </w:style>
  <w:style w:type="character" w:customStyle="1" w:styleId="rvts9">
    <w:name w:val="rvts9"/>
    <w:rsid w:val="000E363C"/>
    <w:rPr>
      <w:rFonts w:cs="Times New Roman"/>
    </w:rPr>
  </w:style>
  <w:style w:type="character" w:customStyle="1" w:styleId="st96">
    <w:name w:val="st96"/>
    <w:rsid w:val="000E363C"/>
    <w:rPr>
      <w:rFonts w:ascii="Times New Roman" w:hAnsi="Times New Roman"/>
      <w:color w:val="0000FF"/>
    </w:rPr>
  </w:style>
  <w:style w:type="paragraph" w:customStyle="1" w:styleId="Default">
    <w:name w:val="Default"/>
    <w:rsid w:val="001648C0"/>
    <w:pPr>
      <w:autoSpaceDE w:val="0"/>
      <w:autoSpaceDN w:val="0"/>
      <w:adjustRightInd w:val="0"/>
    </w:pPr>
    <w:rPr>
      <w:color w:val="000000"/>
      <w:sz w:val="24"/>
      <w:szCs w:val="24"/>
      <w:lang w:eastAsia="en-US"/>
    </w:rPr>
  </w:style>
  <w:style w:type="character" w:styleId="a8">
    <w:name w:val="Hyperlink"/>
    <w:rsid w:val="001648C0"/>
    <w:rPr>
      <w:rFonts w:cs="Times New Roman"/>
      <w:color w:val="0000FF"/>
      <w:u w:val="single"/>
    </w:rPr>
  </w:style>
  <w:style w:type="character" w:customStyle="1" w:styleId="rvts23">
    <w:name w:val="rvts23"/>
    <w:rsid w:val="001648C0"/>
    <w:rPr>
      <w:rFonts w:cs="Times New Roman"/>
    </w:rPr>
  </w:style>
  <w:style w:type="paragraph" w:customStyle="1" w:styleId="11">
    <w:name w:val="Без интервала11"/>
    <w:rsid w:val="001648C0"/>
    <w:rPr>
      <w:rFonts w:ascii="Calibri" w:hAnsi="Calibri"/>
      <w:sz w:val="22"/>
      <w:szCs w:val="22"/>
    </w:rPr>
  </w:style>
  <w:style w:type="paragraph" w:styleId="a9">
    <w:name w:val="footnote text"/>
    <w:basedOn w:val="a"/>
    <w:link w:val="aa"/>
    <w:semiHidden/>
    <w:rsid w:val="001648C0"/>
    <w:rPr>
      <w:sz w:val="20"/>
      <w:szCs w:val="20"/>
    </w:rPr>
  </w:style>
  <w:style w:type="character" w:customStyle="1" w:styleId="aa">
    <w:name w:val="Текст виноски Знак"/>
    <w:link w:val="a9"/>
    <w:locked/>
    <w:rsid w:val="001648C0"/>
    <w:rPr>
      <w:lang w:val="ru-RU" w:eastAsia="en-US" w:bidi="ar-SA"/>
    </w:rPr>
  </w:style>
  <w:style w:type="character" w:styleId="ab">
    <w:name w:val="footnote reference"/>
    <w:semiHidden/>
    <w:rsid w:val="001648C0"/>
    <w:rPr>
      <w:rFonts w:cs="Times New Roman"/>
      <w:vertAlign w:val="superscript"/>
    </w:rPr>
  </w:style>
  <w:style w:type="character" w:customStyle="1" w:styleId="ac">
    <w:name w:val="Основной текст_"/>
    <w:link w:val="10"/>
    <w:locked/>
    <w:rsid w:val="00B63D04"/>
    <w:rPr>
      <w:sz w:val="27"/>
      <w:szCs w:val="27"/>
      <w:shd w:val="clear" w:color="auto" w:fill="FFFFFF"/>
      <w:lang w:bidi="ar-SA"/>
    </w:rPr>
  </w:style>
  <w:style w:type="paragraph" w:customStyle="1" w:styleId="10">
    <w:name w:val="Основной текст1"/>
    <w:basedOn w:val="a"/>
    <w:link w:val="ac"/>
    <w:rsid w:val="00B63D04"/>
    <w:pPr>
      <w:shd w:val="clear" w:color="auto" w:fill="FFFFFF"/>
      <w:spacing w:before="480" w:after="480" w:line="240" w:lineRule="atLeast"/>
      <w:ind w:hanging="340"/>
    </w:pPr>
    <w:rPr>
      <w:sz w:val="27"/>
      <w:szCs w:val="27"/>
      <w:shd w:val="clear" w:color="auto" w:fill="FFFFFF"/>
      <w:lang w:val="uk-UA" w:eastAsia="uk-UA"/>
    </w:rPr>
  </w:style>
  <w:style w:type="paragraph" w:customStyle="1" w:styleId="rvps2">
    <w:name w:val="rvps2"/>
    <w:basedOn w:val="a"/>
    <w:rsid w:val="00074CE4"/>
    <w:pPr>
      <w:spacing w:after="100" w:afterAutospacing="1"/>
      <w:jc w:val="left"/>
    </w:pPr>
    <w:rPr>
      <w:rFonts w:eastAsia="Calibri"/>
      <w:sz w:val="24"/>
      <w:szCs w:val="24"/>
      <w:lang w:eastAsia="ru-RU"/>
    </w:rPr>
  </w:style>
  <w:style w:type="paragraph" w:styleId="ad">
    <w:name w:val="footer"/>
    <w:basedOn w:val="a"/>
    <w:link w:val="ae"/>
    <w:rsid w:val="00984FD6"/>
    <w:pPr>
      <w:tabs>
        <w:tab w:val="center" w:pos="4819"/>
        <w:tab w:val="right" w:pos="9639"/>
      </w:tabs>
    </w:pPr>
  </w:style>
  <w:style w:type="character" w:customStyle="1" w:styleId="ae">
    <w:name w:val="Нижній колонтитул Знак"/>
    <w:link w:val="ad"/>
    <w:rsid w:val="00984FD6"/>
    <w:rPr>
      <w:sz w:val="28"/>
      <w:szCs w:val="22"/>
      <w:lang w:val="ru-RU" w:eastAsia="en-US"/>
    </w:rPr>
  </w:style>
  <w:style w:type="paragraph" w:styleId="af">
    <w:name w:val="List Paragraph"/>
    <w:basedOn w:val="a"/>
    <w:link w:val="af0"/>
    <w:uiPriority w:val="34"/>
    <w:qFormat/>
    <w:rsid w:val="005C38E1"/>
    <w:pPr>
      <w:ind w:left="720"/>
      <w:contextualSpacing/>
    </w:pPr>
  </w:style>
  <w:style w:type="character" w:customStyle="1" w:styleId="af0">
    <w:name w:val="Абзац списку Знак"/>
    <w:link w:val="af"/>
    <w:uiPriority w:val="34"/>
    <w:qFormat/>
    <w:locked/>
    <w:rsid w:val="004636D3"/>
    <w:rPr>
      <w:sz w:val="28"/>
      <w:szCs w:val="22"/>
      <w:lang w:val="ru-R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8611614">
      <w:bodyDiv w:val="1"/>
      <w:marLeft w:val="0"/>
      <w:marRight w:val="0"/>
      <w:marTop w:val="0"/>
      <w:marBottom w:val="0"/>
      <w:divBdr>
        <w:top w:val="none" w:sz="0" w:space="0" w:color="auto"/>
        <w:left w:val="none" w:sz="0" w:space="0" w:color="auto"/>
        <w:bottom w:val="none" w:sz="0" w:space="0" w:color="auto"/>
        <w:right w:val="none" w:sz="0" w:space="0" w:color="auto"/>
      </w:divBdr>
    </w:div>
    <w:div w:id="875508882">
      <w:bodyDiv w:val="1"/>
      <w:marLeft w:val="0"/>
      <w:marRight w:val="0"/>
      <w:marTop w:val="0"/>
      <w:marBottom w:val="0"/>
      <w:divBdr>
        <w:top w:val="none" w:sz="0" w:space="0" w:color="auto"/>
        <w:left w:val="none" w:sz="0" w:space="0" w:color="auto"/>
        <w:bottom w:val="none" w:sz="0" w:space="0" w:color="auto"/>
        <w:right w:val="none" w:sz="0" w:space="0" w:color="auto"/>
      </w:divBdr>
    </w:div>
    <w:div w:id="1028525821">
      <w:bodyDiv w:val="1"/>
      <w:marLeft w:val="0"/>
      <w:marRight w:val="0"/>
      <w:marTop w:val="0"/>
      <w:marBottom w:val="0"/>
      <w:divBdr>
        <w:top w:val="none" w:sz="0" w:space="0" w:color="auto"/>
        <w:left w:val="none" w:sz="0" w:space="0" w:color="auto"/>
        <w:bottom w:val="none" w:sz="0" w:space="0" w:color="auto"/>
        <w:right w:val="none" w:sz="0" w:space="0" w:color="auto"/>
      </w:divBdr>
    </w:div>
    <w:div w:id="1310553291">
      <w:bodyDiv w:val="1"/>
      <w:marLeft w:val="0"/>
      <w:marRight w:val="0"/>
      <w:marTop w:val="0"/>
      <w:marBottom w:val="0"/>
      <w:divBdr>
        <w:top w:val="none" w:sz="0" w:space="0" w:color="auto"/>
        <w:left w:val="none" w:sz="0" w:space="0" w:color="auto"/>
        <w:bottom w:val="none" w:sz="0" w:space="0" w:color="auto"/>
        <w:right w:val="none" w:sz="0" w:space="0" w:color="auto"/>
      </w:divBdr>
    </w:div>
    <w:div w:id="1369063394">
      <w:bodyDiv w:val="1"/>
      <w:marLeft w:val="0"/>
      <w:marRight w:val="0"/>
      <w:marTop w:val="0"/>
      <w:marBottom w:val="0"/>
      <w:divBdr>
        <w:top w:val="none" w:sz="0" w:space="0" w:color="auto"/>
        <w:left w:val="none" w:sz="0" w:space="0" w:color="auto"/>
        <w:bottom w:val="none" w:sz="0" w:space="0" w:color="auto"/>
        <w:right w:val="none" w:sz="0" w:space="0" w:color="auto"/>
      </w:divBdr>
    </w:div>
    <w:div w:id="20535286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02BA97-845D-4B09-AE5E-D7FC3900FA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2178</Words>
  <Characters>1242</Characters>
  <Application>Microsoft Office Word</Application>
  <DocSecurity>0</DocSecurity>
  <Lines>10</Lines>
  <Paragraphs>6</Paragraphs>
  <ScaleCrop>false</ScaleCrop>
  <HeadingPairs>
    <vt:vector size="2" baseType="variant">
      <vt:variant>
        <vt:lpstr>Назва</vt:lpstr>
      </vt:variant>
      <vt:variant>
        <vt:i4>1</vt:i4>
      </vt:variant>
    </vt:vector>
  </HeadingPairs>
  <TitlesOfParts>
    <vt:vector size="1" baseType="lpstr">
      <vt:lpstr/>
    </vt:vector>
  </TitlesOfParts>
  <LinksUpToDate>false</LinksUpToDate>
  <CharactersWithSpaces>3414</CharactersWithSpaces>
  <SharedDoc>false</SharedDoc>
  <HLinks>
    <vt:vector size="12" baseType="variant">
      <vt:variant>
        <vt:i4>6946859</vt:i4>
      </vt:variant>
      <vt:variant>
        <vt:i4>0</vt:i4>
      </vt:variant>
      <vt:variant>
        <vt:i4>0</vt:i4>
      </vt:variant>
      <vt:variant>
        <vt:i4>5</vt:i4>
      </vt:variant>
      <vt:variant>
        <vt:lpwstr>https://zakon.rada.gov.ua/laws/show/2787-17</vt:lpwstr>
      </vt:variant>
      <vt:variant>
        <vt:lpwstr/>
      </vt:variant>
      <vt:variant>
        <vt:i4>125</vt:i4>
      </vt:variant>
      <vt:variant>
        <vt:i4>0</vt:i4>
      </vt:variant>
      <vt:variant>
        <vt:i4>0</vt:i4>
      </vt:variant>
      <vt:variant>
        <vt:i4>5</vt:i4>
      </vt:variant>
      <vt:variant>
        <vt:lpwstr>http://static.rada.gov.ua/site/bills/info/zak_rules.pdf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2021-08-31T14:19:00Z</dcterms:created>
  <dcterms:modified xsi:type="dcterms:W3CDTF">2021-08-31T14:19:00Z</dcterms:modified>
</cp:coreProperties>
</file>