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AF2" w:rsidRDefault="00780AF2" w:rsidP="00780AF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80AF2" w:rsidRDefault="00780AF2" w:rsidP="00780AF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80AF2" w:rsidRDefault="00780AF2" w:rsidP="00780AF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80AF2" w:rsidRDefault="00780AF2" w:rsidP="00780AF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80AF2" w:rsidRPr="00780AF2" w:rsidRDefault="00780AF2" w:rsidP="00780AF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80AF2"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780AF2" w:rsidRPr="00780AF2" w:rsidRDefault="00780AF2" w:rsidP="00780AF2">
      <w:pPr>
        <w:keepNext/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80AF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на проект Закону України </w:t>
      </w:r>
      <w:r w:rsidRPr="00780AF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«Про основні засади торговельної діяльності харчовими продуктами»</w:t>
      </w:r>
    </w:p>
    <w:p w:rsidR="00780AF2" w:rsidRPr="00780AF2" w:rsidRDefault="00780AF2" w:rsidP="00780AF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n771"/>
      <w:bookmarkEnd w:id="0"/>
    </w:p>
    <w:p w:rsidR="00780AF2" w:rsidRPr="001E0A84" w:rsidRDefault="00780AF2" w:rsidP="00780AF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>Проект розроблено, як зазначено у п. 2 пояснювальної записки до нього, з метою «</w:t>
      </w:r>
      <w:r w:rsidRPr="00780AF2">
        <w:rPr>
          <w:rFonts w:ascii="Times New Roman" w:eastAsia="Times New Roman" w:hAnsi="Times New Roman"/>
          <w:sz w:val="28"/>
          <w:szCs w:val="24"/>
          <w:lang w:eastAsia="ru-RU"/>
        </w:rPr>
        <w:t>зміцнення основ національної продовольчої безпеки і протидії недобросовісній конкуренції між суб'єктами господарювання</w:t>
      </w:r>
      <w:r w:rsidRPr="00780AF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у тому числі в процесі реалізації харчових продуктів, підтримки вітчизняних виробників харчової продукції при здійсненні торгівельної діяльності. Також запропонованим проектом передбачається імплементація норм Директиви Європейського Парламенту і Ради 2019/633 від 17 квітня 2019 року </w:t>
      </w:r>
      <w:r w:rsidR="006F0AC1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                            </w:t>
      </w:r>
      <w:r w:rsidRPr="00780AF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«Про </w:t>
      </w:r>
      <w:r w:rsidRPr="001E0A84">
        <w:rPr>
          <w:rFonts w:ascii="Times New Roman" w:eastAsia="Times New Roman" w:hAnsi="Times New Roman"/>
          <w:bCs/>
          <w:sz w:val="28"/>
          <w:szCs w:val="28"/>
          <w:lang w:eastAsia="ru-RU"/>
        </w:rPr>
        <w:t>недобросовісну торгову практику між підприємствами у сфері сільського господарства та продовольства»</w:t>
      </w:r>
      <w:r w:rsidRPr="001E0A84">
        <w:rPr>
          <w:rFonts w:ascii="Times New Roman" w:eastAsia="Times New Roman" w:hAnsi="Times New Roman"/>
          <w:bCs/>
          <w:sz w:val="28"/>
          <w:szCs w:val="28"/>
          <w:vertAlign w:val="superscript"/>
          <w:lang w:eastAsia="ru-RU"/>
        </w:rPr>
        <w:footnoteReference w:id="1"/>
      </w:r>
      <w:r w:rsidRPr="001E0A8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 національне законодавство»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(далі – Директива).</w:t>
      </w:r>
    </w:p>
    <w:p w:rsidR="00780AF2" w:rsidRPr="001E0A84" w:rsidRDefault="00780AF2" w:rsidP="00780AF2">
      <w:pPr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цього 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проекті пропонується визначити: терміни, які вживаються в ньому; засади державного регулювання торговельної діяльності харчовими продуктами; </w:t>
      </w:r>
      <w:r w:rsidRPr="001E0A84">
        <w:rPr>
          <w:rFonts w:ascii="Times New Roman" w:eastAsia="Times New Roman" w:hAnsi="Times New Roman"/>
          <w:bCs/>
          <w:sz w:val="28"/>
          <w:szCs w:val="28"/>
          <w:lang w:eastAsia="ru-RU"/>
        </w:rPr>
        <w:t>вимоги до договорів купівлі-продажу (поставки) харчових продуктів та договорів про торг</w:t>
      </w:r>
      <w:r w:rsidR="000476F4" w:rsidRPr="001E0A84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1E0A84">
        <w:rPr>
          <w:rFonts w:ascii="Times New Roman" w:eastAsia="Times New Roman" w:hAnsi="Times New Roman"/>
          <w:bCs/>
          <w:sz w:val="28"/>
          <w:szCs w:val="28"/>
          <w:lang w:eastAsia="ru-RU"/>
        </w:rPr>
        <w:t>вельне співробітництво; особливості  розрахунків та відповідальності суб’єктів торговельної діяльності.</w:t>
      </w:r>
    </w:p>
    <w:p w:rsidR="00780AF2" w:rsidRPr="00780AF2" w:rsidRDefault="00780AF2" w:rsidP="00780AF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_heading=h.gjdgxs" w:colFirst="0" w:colLast="0"/>
      <w:bookmarkEnd w:id="1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На думку суб’єктів права законодавчої ініціативи, прийняття проекту «</w:t>
      </w:r>
      <w:r w:rsidRPr="001E0A84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дозволить на законодавчому рівні</w:t>
      </w:r>
      <w:r w:rsidRPr="00780AF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врегулювати деякі питання, що виникають між суб’єктами господарювання при здійсненні ними торговельної діяльності харчовими продуктами, зокрема в частині визначення строків оплати за поставлений товар, заборони встановлення дискримінаційних умов в договорах між суб’єктами господарювання та стягнення штрафів за невиконання таких умов</w:t>
      </w:r>
      <w:r w:rsidRPr="00780A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 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>(п. 6 пояснювальної записки до проекту).</w:t>
      </w:r>
    </w:p>
    <w:p w:rsidR="00780AF2" w:rsidRPr="00780AF2" w:rsidRDefault="00780AF2" w:rsidP="00780AF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>Проект на момент підготовки висновку не включено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780AF2" w:rsidRPr="00780AF2" w:rsidRDefault="00780AF2" w:rsidP="00780AF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Розглянувши поданий проект у стислий термін, Головне управління вважає за доцільне висловити щодо  нього такі зауваження і пропозиції.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Термінологічний апарат проекту вимагає доопрацювання. Зокрема: 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1.1.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Насамперед, слід звернути увагу, що у проекті відсутнє визначення змісту терміну «харчовий продукт», у зв’язку з цим</w:t>
      </w:r>
      <w:r w:rsidR="0050004D"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залиша</w:t>
      </w:r>
      <w:r w:rsidR="0050004D" w:rsidRPr="001E0A84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ться </w:t>
      </w:r>
      <w:r w:rsidR="0050004D"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невизначеним</w:t>
      </w:r>
      <w:r w:rsidR="0050004D"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на регулювання відносин щодо торгівлі якими саме продуктами поширюється його дія.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З цього приводу варто зазначити, що згідно з п. 92 ч. 1 ст. 1 Закону України «Про основні принципи та вимоги до безпечності та якості харчових продуктів» «харчовий продукт - речовина або продукт (неперероблений, частково перероблений або перероблений), призначені для споживання людиною. До харчових продуктів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належать напої (в тому числі вода питна), жувальна гумка та будь-яка інша речовина, що спеціально включена до харчового продукту під час виробництва, підготовки або обробки. Термін «харчовий продукт» не включає: корми; тварин, які не призначені для споживання людиною живими; рослини (до збору врожаю); лікарські засоби; косметичні продукти; тютюн і тютюнові вироби; наркотичні і психотропні речовини у межах визначень Єдиної Конвенції ООН про наркотики 1961 року і Конвенції ООН про психотропні речовини 1971 року; залишки та забруднюючі речовини».  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>1.2. Згідно з п. 2 ч. 1 ст. 1 проекту під «оптовою торгівлею» слід розуміти  «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вид торговельної діяльності, який полягає у реалізації харчових продуктів для їх подальшої реалізації та/або переробки, відмінної від власного споживання». Проте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цьому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враховується,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що ця діяльність, крім реалізації продукції, як правило, включає до себе ще й її придбання.  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1.3. Згідно з п. 4 ч. 1 ст. 1 проекту «торговою потужністю»  вважається «нерухомий об'єкт (будівля, споруда або їх частина), оснащений торговельно-технологічним обладнанням та призначений для торгівлі харчовими продуктами». Проте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такий підхід не враховує здійснення торгової діяльності з використанням транспортних засобів, автоматів тощо.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1.4.  У п. 7 ч. 1 ст. 1 проекту «</w:t>
      </w:r>
      <w:r w:rsidRPr="001E0A84">
        <w:rPr>
          <w:rFonts w:ascii="Times New Roman" w:eastAsia="Times New Roman" w:hAnsi="Times New Roman"/>
          <w:i/>
          <w:sz w:val="28"/>
          <w:szCs w:val="28"/>
          <w:lang w:eastAsia="ru-RU"/>
        </w:rPr>
        <w:t>харчовим продуктом, що швидко псується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» визначається «харчовий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продукт, термін придатності якого не перевищує </w:t>
      </w:r>
      <w:r w:rsidR="000476F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30 днів з дати збору, виробництва або переробки, незалежно від того чи додатково обробляється продукт після його реалізації (поставки) </w:t>
      </w:r>
      <w:r w:rsidRPr="00780AF2">
        <w:rPr>
          <w:rFonts w:ascii="Times New Roman" w:eastAsia="Times New Roman" w:hAnsi="Times New Roman"/>
          <w:i/>
          <w:sz w:val="28"/>
          <w:szCs w:val="28"/>
          <w:lang w:eastAsia="ru-RU"/>
        </w:rPr>
        <w:t>суб’єкту торговельної діяльності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».  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На думку Головного управління, віднесення до продуктів, що швидко псуються, лише тих, які реалізуються, поставляються суб’єкту торговельної діяльності, не враховує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того, що такі продукти використовуються, зокрема, і в закладах громадського харчування. До того ж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вони також можуть швидко псуватись і після їх реалізації будь-якому споживачу. 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Слід також зазначити, що вказаний термін не узгоджується із відповідною термінологією, яка вживається у інших законах, які стосуються харчових продуктів, у яких застосовується термін «швидкопсувні харчові продукти». Зокрема, у визначенні терміну «дата «вжити до»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(п. 4 ч. 1 ст. 1 Закону України «Про інформацію для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споживачів щодо харчових продуктів») зазначається, що такою датою є «граничний термін (календарна дата) споживання харчових продуктів, які через свої мікробіологічні властивості є швидкопсувними, визначена оператором ринку харчових продуктів, відповідальним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за інформацію про харчовий продукт, після спливу якої харчовий продукт може вважатися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небезпечним для здоров’я людини».  Термін  «швидкопсувні» харчові продукти вживається також у Законі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 (наприклад, ч. 6 ст. 21; ч. 10 </w:t>
      </w:r>
      <w:r w:rsidR="001868C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ст. 57 цього Закону).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Крім цього, запропоноване у проекті визначення не враховує, що відповідно </w:t>
      </w:r>
      <w:r w:rsidR="000476F4" w:rsidRPr="001E0A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</w:t>
      </w:r>
      <w:r w:rsidRPr="001E0A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п. 17 преамбули Директиви </w:t>
      </w:r>
      <w:r w:rsidRPr="001E0A84">
        <w:rPr>
          <w:rFonts w:ascii="Times New Roman" w:eastAsia="Times New Roman" w:hAnsi="Times New Roman"/>
          <w:i/>
          <w:color w:val="000000"/>
          <w:sz w:val="28"/>
          <w:szCs w:val="28"/>
          <w:u w:val="single"/>
          <w:lang w:eastAsia="ru-RU"/>
        </w:rPr>
        <w:t>швидкопсувним слід вважати сільськогосподарський та харчовий продукт</w:t>
      </w:r>
      <w:r w:rsidRPr="001E0A8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, </w:t>
      </w:r>
      <w:r w:rsidRPr="001E0A84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якщо можна очікувати, що він стане </w:t>
      </w:r>
      <w:r w:rsidRPr="001E0A84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непридатним для продажу</w:t>
      </w:r>
      <w:r w:rsidRPr="00780AF2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протягом 30 днів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з моменту останнього акту збирання, виробництва або переробки постачальником. 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У ч. 1 ст. 2 проекту передбачається, що «цей Закон поширюється на регулювання відносин, що виникають між органами державної влади, органами місцевого самоврядування та суб'єктами торговельної діяльності, а також відносини, що виникають між суб’єктами господарювання при здійсненні ними торговельної діяльності харчовими продуктами». Проте такий підхід не враховує, що згідно з п. 3 ч. 1 ст. 1 проекту «роздрібною торгівлею» визнається «вид торговельної діяльності, який полягає у реалізації харчових продуктів </w:t>
      </w:r>
      <w:r w:rsidRPr="00780AF2">
        <w:rPr>
          <w:rFonts w:ascii="Times New Roman" w:eastAsia="Times New Roman" w:hAnsi="Times New Roman"/>
          <w:i/>
          <w:sz w:val="28"/>
          <w:szCs w:val="28"/>
          <w:lang w:eastAsia="ru-RU"/>
        </w:rPr>
        <w:t>кінце</w:t>
      </w:r>
      <w:r w:rsidRPr="00780AF2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вому споживачу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», відносини за участю якого також мають регулюватися у цьому Законі, а також те, що учасниками торговельної діяльності є виробники відповідної продукції, які постачають її суб’єктам торговельної діяльності. 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Слід також зазначити, що у проекті не визначаються права і обов’язки учасників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відповідних суспільних відносин.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Вважаємо, що до складу законодавства про  торговельну діяльність харчовими продуктами в Україні (ст. 3 проекту) ма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>ють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включені відповідні положення Цивільного та Господарського кодексів України.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Крім цього, у цій статті не враховано, що особливості торговельної  діяльності з окремими видами харчових продуктів визнача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ються в інших законах, таких як: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закони України «Про дитяче харчування», «Про основні принципи та вимоги до органічного виробництва, обігу та маркування органічної продукції», «Про державне регулювання виробництва і обігу спирту етилового, коньячного і плодового, алкогольних напоїв, тютюнових виробів, рідин, що використовуються в електронних сигаретах, та пального». 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b/>
          <w:sz w:val="28"/>
          <w:szCs w:val="28"/>
          <w:lang w:eastAsia="ru-RU"/>
        </w:rPr>
        <w:t>4.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нашу думку, положення ст. ст. 4 – 7 проекту не забезпечують комплексного державного регулювання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торговельної діяльності харчовими продуктами в України, оскільки у них, зокрема: не визначена система  центральних органів виконавчої влади, які здійснюють таке регулювання; не конкретизовані центральні органи виконавчої влади, які застосовують визначені у проекті засоби державного регулювання торговельної діяльності (зокрема, залишається незрозу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мілим, який саме орган встановлює вимоги до договорів у сфері торговельної діяльності харчовими продуктами (абз. 4 ч. 2 ст. 4 проекту) чи забезпечує захист конкуренції при здійсненні торгівлі харчовими продуктами (абз. 6 ч. 2 ст. 4 проекту)) тощо. 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b/>
          <w:sz w:val="28"/>
          <w:szCs w:val="28"/>
          <w:lang w:eastAsia="ru-RU"/>
        </w:rPr>
        <w:t>5.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ст. 8 проекту пропонується встановити вимоги до договорів купівлі-продажу (поставки) харчових продуктів</w:t>
      </w:r>
      <w:r w:rsidRPr="001E0A84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договорів про торг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вельне співробітництво. Проте положення цієї статті вимагають доопрацювання. Зокрема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5.1. У</w:t>
      </w:r>
      <w:r w:rsidRPr="001E0A8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ч. 2 ст. 8 проекту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йдеться про те, що «</w:t>
      </w:r>
      <w:bookmarkStart w:id="2" w:name="_Hlk84242312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Рекламні, маркетингові, логістичні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послуги, послуги з підготовки, обробки, пакування харчових продуктів, інші послуги, пов’язані із реалізацією харчових продуктів кінцевому споживачу, можуть надаватися суб’єктом торговельної діяльності </w:t>
      </w:r>
      <w:r w:rsidRPr="00780AF2">
        <w:rPr>
          <w:rFonts w:ascii="Times New Roman" w:eastAsia="Times New Roman" w:hAnsi="Times New Roman"/>
          <w:i/>
          <w:sz w:val="28"/>
          <w:szCs w:val="28"/>
          <w:lang w:eastAsia="ru-RU"/>
        </w:rPr>
        <w:t>виключно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підставі укладеного з постачальником харчових продуктів договору про торгівельне співробітництво. Такий договір укладається сторонами у письмовій формі та </w:t>
      </w:r>
      <w:r w:rsidRPr="00780AF2">
        <w:rPr>
          <w:rFonts w:ascii="Times New Roman" w:eastAsia="Times New Roman" w:hAnsi="Times New Roman"/>
          <w:i/>
          <w:sz w:val="28"/>
          <w:szCs w:val="28"/>
          <w:lang w:eastAsia="ru-RU"/>
        </w:rPr>
        <w:t>винятково на добровільних засадах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bookmarkEnd w:id="2"/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>У договорі про торгівельне співробітництво (щодо надання рекламних, маркетингових, логістичних послуг, послуг з підготовки, обробки, пакування харчових продуктів, інші послуг, пов’язаних із реалізацією харчових продуктів кінцевому споживачу) обов’язково мають бути визначені: перелік послуг, що надаються за договором; зміст кожної послуги, її мета, харчові продукти, яких вона стосується, а також ціна кожної із послуг; порядок (умови) надання послуги; строки надання послуги; вартість кожної окремої послуги; умови, порядок та строки розрахунків за надану послугу; відповідальність сторін у разі невиконання своїх зобов’язань; інші умови, визначені сторонами або законодавством».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Насамперед, варто звернути увагу, що у цій частині ст. 8 проекту не визначено, в чому ж саме полягає «торгівельне співробітництво». Крім цього, слід врахувати, що у вказаному договорі йдеться про надання послуг.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Зазначимо також, що питання «винятково добровільних засад укладення договору» вже врегульоване у Цивільному кодексі України (далі – ЦКУ), зокрема, в його ст. 627 зазначено, що «…сторони є вільними в укладенні договору, виборі контрагента та визначенні умов договору з урахуванням вимог цього Кодексу, інших актів цивільного законодавства, звичаїв ділового обороту, вимог розумності та справедливості». 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Зауважимо, що обов’язкові умови договору торг</w:t>
      </w:r>
      <w:r w:rsidR="00EC5C98" w:rsidRPr="001E0A8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вельного співробітництва, що встановлюються проектом, не виглядають специфічними саме для договорів про торг</w:t>
      </w:r>
      <w:r w:rsidR="00EC5C98" w:rsidRPr="001E0A8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вельне співробітництво, а носять загальний характер для всіх договорів щодо надання послуг. У зв’язку з цим встановлення цих вимог (як обов’язкових для укладення саме такого договору) не виглядає доцільним. Нагадаємо, що згідно з ч. 2 ст. 179 Господарського кодексу України (далі – ГКУ) Кабінет Міністрів України, уповноважені ним або законом органи виконавчої влади, державні органи та органи державної влади можуть рекомендувати суб'єктам господарювання орієнтовні умови господарських договорів (примірні договори), а у визначених законом випадках - затверджувати типові договори. У зв’язку з цим, на нашу думку, вимоги до договорів купівлі-продажу (поставки) харчових продуктів та дого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ворів про торг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вельне співробітництво юридично коректніше визначити у відповідних типових договорах, передбачивши їх затвердження у проекті.</w:t>
      </w:r>
    </w:p>
    <w:p w:rsidR="00780AF2" w:rsidRPr="001E0A84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5.2. У ч. 3 ст. 8 проекту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пропонується встановити, що вартість послуг, наданих згідно договору про торговельне співробітництво за певний період часу, </w:t>
      </w:r>
      <w:r w:rsidRPr="001E0A84">
        <w:rPr>
          <w:rFonts w:ascii="Times New Roman" w:eastAsia="Times New Roman" w:hAnsi="Times New Roman"/>
          <w:i/>
          <w:sz w:val="28"/>
          <w:szCs w:val="28"/>
          <w:lang w:eastAsia="ru-RU"/>
        </w:rPr>
        <w:t>не може перевищувати десяти відсотків загальної вартості харчових продуктів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, які були поставлені на підставі в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сіх укладених між такими суб’єктами господарювання договорами купівлі-продажу (поставки) за цей же період часу. </w:t>
      </w:r>
      <w:r w:rsidRPr="00780A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Це положення не кореспондується з ч. 1 ст. 632 ЦКУ, згідно з якою ціна в договорі встановлюється за домовленістю сторін, а у випадках, встановлених законом, застосовуються ціни (тарифи, ставки тощо), які встановлюються або регулюються </w:t>
      </w:r>
      <w:r w:rsidRPr="001E0A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уповноваженими органами державної влади або органами місцевого самоврядування. Крім того, згідно з ч. 1 ст. 190 ГКУ вільні ціни визначаються на всі види продукції (робіт, послуг), за винятком тих, на які встановлено державні регульовані ціни.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E0A8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6.</w:t>
      </w:r>
      <w:r w:rsidRPr="001E0A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ч. 1 ст</w:t>
      </w:r>
      <w:r w:rsidR="000476F4" w:rsidRPr="001E0A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1E0A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8 проекту пропонується запровадити строки розрахунків суб'єктів торговельної діяльності із постачальниками харчових продуктів залежно від мінімального терміну придатності харчових продуктів  відповідно  не пізніше 10, 30 та 60 календарних днів з дня фактичного отримання таких харчових продуктів суб’єктом торговельної діяльності.  Однак, враховуючи, що проект спрямований на імплементацію Директиви, вважаємо за доцільне звернути увагу, що згідно з п. 17 преамбули Директиви швидкопсувним слід вважати продукт, якщо можна очікувати, що він стане непридатним для про</w:t>
      </w:r>
      <w:r w:rsidRPr="001E0A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дажу протягом 30 днів з моменту останнього акту збирання, виробництва або переробки постачальником. Платежі за швидкопсувні продукти, здійснюються: не пізніше, ніж через 30 днів після поставки; через 30 днів після закінчення узгодженого періоду доставки, коли продукція</w:t>
      </w:r>
      <w:r w:rsidRPr="00780A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поставляється на регулярній основі; або через 30 днів після дати встановлення суми сплати, несумісні з чесною торгівлею. Крім того, згідно з п. а ч. 1 ст. 3 Директиви строк сплати покупцем швидкопсувної продукції на регулярній та нерегулярній основі становить до 30 днів після поставки цієї продукції.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0AF2">
        <w:rPr>
          <w:rFonts w:ascii="Times New Roman" w:eastAsia="Times New Roman" w:hAnsi="Times New Roman"/>
          <w:b/>
          <w:sz w:val="28"/>
          <w:szCs w:val="28"/>
          <w:lang w:eastAsia="uk-UA"/>
        </w:rPr>
        <w:t>7.</w:t>
      </w:r>
      <w:r w:rsidRPr="00780AF2">
        <w:rPr>
          <w:rFonts w:ascii="Times New Roman" w:eastAsia="Times New Roman" w:hAnsi="Times New Roman"/>
          <w:sz w:val="28"/>
          <w:szCs w:val="28"/>
          <w:lang w:eastAsia="uk-UA"/>
        </w:rPr>
        <w:t xml:space="preserve"> Вважаємо, що імплементація </w:t>
      </w:r>
      <w:r w:rsidRPr="001E0A84">
        <w:rPr>
          <w:rFonts w:ascii="Times New Roman" w:eastAsia="Times New Roman" w:hAnsi="Times New Roman"/>
          <w:sz w:val="28"/>
          <w:szCs w:val="28"/>
          <w:lang w:eastAsia="uk-UA"/>
        </w:rPr>
        <w:t>Директиви у спосіб, запропонований проектом, не є повною та не враховує деякі її важливі положення. Зокрема</w:t>
      </w:r>
      <w:r w:rsidR="000476F4" w:rsidRPr="001E0A84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1E0A84">
        <w:rPr>
          <w:rFonts w:ascii="Times New Roman" w:eastAsia="Times New Roman" w:hAnsi="Times New Roman"/>
          <w:sz w:val="28"/>
          <w:szCs w:val="28"/>
          <w:lang w:eastAsia="uk-UA"/>
        </w:rPr>
        <w:t xml:space="preserve"> у проекті пропонується регулювати відносини, пов’язані з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торговельною діяльністю харчовими продуктами, в той час коли згідно з ч. 1 ст. 1 Директиви предметом її регулювання є </w:t>
      </w:r>
      <w:r w:rsidRPr="001E0A84">
        <w:rPr>
          <w:rFonts w:ascii="Times New Roman" w:eastAsia="Times New Roman" w:hAnsi="Times New Roman"/>
          <w:i/>
          <w:sz w:val="28"/>
          <w:szCs w:val="28"/>
          <w:lang w:eastAsia="ru-RU"/>
        </w:rPr>
        <w:t>постачання сільськогосподарської продукції та продовольства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. Так, у п. 1 ч. 1 ст. 2 Директиви термін «сільськогосподарські та харчові продукти» (</w:t>
      </w:r>
      <w:proofErr w:type="spellStart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agricultural</w:t>
      </w:r>
      <w:proofErr w:type="spellEnd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and</w:t>
      </w:r>
      <w:proofErr w:type="spellEnd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food</w:t>
      </w:r>
      <w:proofErr w:type="spellEnd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products</w:t>
      </w:r>
      <w:proofErr w:type="spellEnd"/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) визначається, як «</w:t>
      </w:r>
      <w:r w:rsidRPr="001E0A84">
        <w:rPr>
          <w:rFonts w:ascii="Times New Roman" w:eastAsia="Times New Roman" w:hAnsi="Times New Roman"/>
          <w:sz w:val="28"/>
          <w:szCs w:val="24"/>
          <w:lang w:eastAsia="ru-RU"/>
        </w:rPr>
        <w:t>продукти, перелічені в Додатку I до Договору про заснування Європейської спільноти</w:t>
      </w:r>
      <w:r w:rsidRPr="001E0A84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footnoteReference w:id="2"/>
      </w:r>
      <w:r w:rsidRPr="001E0A84">
        <w:rPr>
          <w:rFonts w:ascii="Times New Roman" w:eastAsia="Times New Roman" w:hAnsi="Times New Roman"/>
          <w:sz w:val="28"/>
          <w:szCs w:val="24"/>
          <w:lang w:eastAsia="ru-RU"/>
        </w:rPr>
        <w:t xml:space="preserve"> а також продукти, не зазначені в цьому Додатку, але оброблені для використання як харчові продукти з використанням продуктів, зазначених у</w:t>
      </w:r>
      <w:r w:rsidRPr="00780AF2">
        <w:rPr>
          <w:rFonts w:ascii="Times New Roman" w:eastAsia="Times New Roman" w:hAnsi="Times New Roman"/>
          <w:sz w:val="28"/>
          <w:szCs w:val="24"/>
          <w:lang w:eastAsia="ru-RU"/>
        </w:rPr>
        <w:t xml:space="preserve"> цьому Додатку». У </w:t>
      </w:r>
      <w:r w:rsidRPr="00780AF2">
        <w:rPr>
          <w:rFonts w:ascii="Times New Roman" w:eastAsia="Times New Roman" w:hAnsi="Times New Roman"/>
          <w:sz w:val="28"/>
          <w:szCs w:val="28"/>
          <w:lang w:eastAsia="uk-UA"/>
        </w:rPr>
        <w:t>ч. 1 ст. 1 Директиви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зазначається, що </w:t>
      </w:r>
      <w:r w:rsidRPr="00780AF2">
        <w:rPr>
          <w:rFonts w:ascii="Times New Roman" w:eastAsia="Times New Roman" w:hAnsi="Times New Roman"/>
          <w:sz w:val="28"/>
          <w:szCs w:val="28"/>
          <w:lang w:eastAsia="uk-UA"/>
        </w:rPr>
        <w:t xml:space="preserve">вона 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«встановлює </w:t>
      </w:r>
      <w:r w:rsidRPr="00780AF2">
        <w:rPr>
          <w:rFonts w:ascii="Times New Roman" w:eastAsia="Times New Roman" w:hAnsi="Times New Roman"/>
          <w:i/>
          <w:sz w:val="28"/>
          <w:szCs w:val="28"/>
          <w:lang w:eastAsia="ru-RU"/>
        </w:rPr>
        <w:t>мінімальний перелік заборонених недобросовісних торгових практик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t xml:space="preserve"> у відносинах. між покупцями та постачальниками </w:t>
      </w:r>
      <w:r w:rsidRPr="00780AF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у ланцюгу постачання сільськогосподарської продукції та продовольства». Проте у проекті не враховано, що відповідно до ч. 2 ст. 1 Директиви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вона застосовується лише до відносин за участю постачальників, річний оборот  яких перевищує певну величину (наприклад, постачальників, </w:t>
      </w:r>
      <w:r w:rsidRPr="001E0A84">
        <w:rPr>
          <w:rFonts w:ascii="Times New Roman" w:eastAsia="Times New Roman" w:hAnsi="Times New Roman"/>
          <w:sz w:val="28"/>
          <w:szCs w:val="28"/>
          <w:lang w:eastAsia="uk-UA"/>
        </w:rPr>
        <w:t xml:space="preserve">річний товарообіг яких 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>не перевищує 2 мільйонам євро, покупцям, які мають річний товарообіг більше</w:t>
      </w:r>
      <w:r w:rsidR="00EC5C98" w:rsidRPr="001E0A8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ніж 2 мільйон</w:t>
      </w:r>
      <w:r w:rsidR="00EC5C98" w:rsidRPr="001E0A8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1E0A84">
        <w:rPr>
          <w:rFonts w:ascii="Times New Roman" w:eastAsia="Times New Roman" w:hAnsi="Times New Roman"/>
          <w:sz w:val="28"/>
          <w:szCs w:val="28"/>
          <w:lang w:eastAsia="ru-RU"/>
        </w:rPr>
        <w:t xml:space="preserve"> євро тощо).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80AF2">
        <w:rPr>
          <w:rFonts w:ascii="Times New Roman" w:eastAsia="Times New Roman" w:hAnsi="Times New Roman"/>
          <w:sz w:val="28"/>
          <w:szCs w:val="24"/>
          <w:lang w:eastAsia="ru-RU"/>
        </w:rPr>
        <w:t xml:space="preserve">Керівник Головного управління                                               </w:t>
      </w:r>
      <w:r w:rsidR="001868C8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     </w:t>
      </w:r>
      <w:r w:rsidRPr="00780AF2">
        <w:rPr>
          <w:rFonts w:ascii="Times New Roman" w:eastAsia="Times New Roman" w:hAnsi="Times New Roman"/>
          <w:sz w:val="28"/>
          <w:szCs w:val="24"/>
          <w:lang w:eastAsia="ru-RU"/>
        </w:rPr>
        <w:t xml:space="preserve"> С. Тихонюк</w:t>
      </w: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780AF2" w:rsidRPr="00780AF2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780AF2" w:rsidRPr="001661E8" w:rsidRDefault="00780AF2" w:rsidP="00780A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661E8">
        <w:rPr>
          <w:rFonts w:ascii="Times New Roman" w:eastAsia="Times New Roman" w:hAnsi="Times New Roman"/>
          <w:sz w:val="20"/>
          <w:szCs w:val="20"/>
          <w:lang w:eastAsia="ru-RU"/>
        </w:rPr>
        <w:t xml:space="preserve">Вик.: Е. Вальковський, М. Муравська </w:t>
      </w:r>
    </w:p>
    <w:p w:rsidR="00780AF2" w:rsidRPr="00780AF2" w:rsidRDefault="00780AF2" w:rsidP="00780A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3" w:name="_GoBack"/>
      <w:bookmarkEnd w:id="3"/>
    </w:p>
    <w:p w:rsidR="00780AF2" w:rsidRPr="00780AF2" w:rsidRDefault="00780AF2" w:rsidP="00780AF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sectPr w:rsidR="00780AF2" w:rsidRPr="00780AF2" w:rsidSect="000476F4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21E" w:rsidRDefault="00D9021E" w:rsidP="00780AF2">
      <w:pPr>
        <w:spacing w:after="0" w:line="240" w:lineRule="auto"/>
      </w:pPr>
      <w:r>
        <w:separator/>
      </w:r>
    </w:p>
  </w:endnote>
  <w:endnote w:type="continuationSeparator" w:id="0">
    <w:p w:rsidR="00D9021E" w:rsidRDefault="00D9021E" w:rsidP="00780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21E" w:rsidRDefault="00D9021E" w:rsidP="00780AF2">
      <w:pPr>
        <w:spacing w:after="0" w:line="240" w:lineRule="auto"/>
      </w:pPr>
      <w:r>
        <w:separator/>
      </w:r>
    </w:p>
  </w:footnote>
  <w:footnote w:type="continuationSeparator" w:id="0">
    <w:p w:rsidR="00D9021E" w:rsidRDefault="00D9021E" w:rsidP="00780AF2">
      <w:pPr>
        <w:spacing w:after="0" w:line="240" w:lineRule="auto"/>
      </w:pPr>
      <w:r>
        <w:continuationSeparator/>
      </w:r>
    </w:p>
  </w:footnote>
  <w:footnote w:id="1">
    <w:p w:rsidR="00780AF2" w:rsidRPr="000476F4" w:rsidRDefault="00780AF2" w:rsidP="000476F4">
      <w:pPr>
        <w:pStyle w:val="a4"/>
        <w:ind w:firstLine="708"/>
        <w:rPr>
          <w:lang w:val="en-US"/>
        </w:rPr>
      </w:pPr>
      <w:r w:rsidRPr="00C448DF">
        <w:rPr>
          <w:rStyle w:val="a6"/>
        </w:rPr>
        <w:footnoteRef/>
      </w:r>
      <w:r w:rsidRPr="00C448DF">
        <w:t xml:space="preserve"> </w:t>
      </w:r>
      <w:r w:rsidRPr="00C448DF">
        <w:rPr>
          <w:lang w:val="en-US"/>
        </w:rPr>
        <w:t>URL</w:t>
      </w:r>
      <w:r w:rsidRPr="000476F4">
        <w:rPr>
          <w:lang w:val="en-US"/>
        </w:rPr>
        <w:t xml:space="preserve">: </w:t>
      </w:r>
      <w:hyperlink r:id="rId1" w:history="1">
        <w:r w:rsidRPr="000476F4">
          <w:rPr>
            <w:lang w:val="en-US"/>
          </w:rPr>
          <w:t>https://eur-lex.europa.eu/legal-content/EN/TXT/?uri=CELEX%3A32019L0633&amp;qid=1637933854210</w:t>
        </w:r>
      </w:hyperlink>
    </w:p>
  </w:footnote>
  <w:footnote w:id="2">
    <w:p w:rsidR="00780AF2" w:rsidRPr="00EC5C98" w:rsidRDefault="00780AF2" w:rsidP="00780AF2">
      <w:pPr>
        <w:pStyle w:val="a4"/>
        <w:rPr>
          <w:lang w:val="en-US"/>
        </w:rPr>
      </w:pPr>
      <w:r>
        <w:rPr>
          <w:rStyle w:val="a6"/>
        </w:rPr>
        <w:footnoteRef/>
      </w:r>
      <w:r>
        <w:t xml:space="preserve"> </w:t>
      </w:r>
      <w:r>
        <w:rPr>
          <w:lang w:val="en-US"/>
        </w:rPr>
        <w:t>URL</w:t>
      </w:r>
      <w:r>
        <w:t>:</w:t>
      </w:r>
      <w:r w:rsidRPr="00132677">
        <w:t xml:space="preserve"> </w:t>
      </w:r>
      <w:hyperlink r:id="rId2" w:anchor="o163" w:history="1">
        <w:r w:rsidRPr="000476F4">
          <w:t>https://zakon.rada.gov.ua/rada/show/994_017#o163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AF2" w:rsidRPr="001868C8" w:rsidRDefault="00780AF2" w:rsidP="000476F4">
    <w:pPr>
      <w:pStyle w:val="a7"/>
      <w:jc w:val="center"/>
      <w:rPr>
        <w:rFonts w:ascii="Times New Roman" w:hAnsi="Times New Roman"/>
        <w:sz w:val="24"/>
        <w:szCs w:val="24"/>
      </w:rPr>
    </w:pPr>
    <w:r w:rsidRPr="001868C8">
      <w:rPr>
        <w:rFonts w:ascii="Times New Roman" w:hAnsi="Times New Roman"/>
        <w:sz w:val="24"/>
        <w:szCs w:val="24"/>
      </w:rPr>
      <w:fldChar w:fldCharType="begin"/>
    </w:r>
    <w:r w:rsidRPr="001868C8">
      <w:rPr>
        <w:rFonts w:ascii="Times New Roman" w:hAnsi="Times New Roman"/>
        <w:sz w:val="24"/>
        <w:szCs w:val="24"/>
      </w:rPr>
      <w:instrText>PAGE   \* MERGEFORMAT</w:instrText>
    </w:r>
    <w:r w:rsidRPr="001868C8">
      <w:rPr>
        <w:rFonts w:ascii="Times New Roman" w:hAnsi="Times New Roman"/>
        <w:sz w:val="24"/>
        <w:szCs w:val="24"/>
      </w:rPr>
      <w:fldChar w:fldCharType="separate"/>
    </w:r>
    <w:r w:rsidR="001661E8">
      <w:rPr>
        <w:rFonts w:ascii="Times New Roman" w:hAnsi="Times New Roman"/>
        <w:noProof/>
        <w:sz w:val="24"/>
        <w:szCs w:val="24"/>
      </w:rPr>
      <w:t>5</w:t>
    </w:r>
    <w:r w:rsidRPr="001868C8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AF2" w:rsidRPr="00780AF2" w:rsidRDefault="00780AF2" w:rsidP="00780AF2">
    <w:pPr>
      <w:tabs>
        <w:tab w:val="center" w:pos="4819"/>
        <w:tab w:val="right" w:pos="9639"/>
      </w:tabs>
      <w:spacing w:after="0" w:line="240" w:lineRule="auto"/>
      <w:ind w:right="-144"/>
      <w:jc w:val="right"/>
      <w:rPr>
        <w:rFonts w:ascii="Times New Roman" w:eastAsia="Times New Roman" w:hAnsi="Times New Roman"/>
        <w:color w:val="000000"/>
        <w:sz w:val="20"/>
        <w:szCs w:val="20"/>
        <w:lang w:eastAsia="ru-RU"/>
      </w:rPr>
    </w:pPr>
    <w:r w:rsidRPr="00780AF2">
      <w:rPr>
        <w:rFonts w:ascii="Times New Roman" w:eastAsia="Times New Roman" w:hAnsi="Times New Roman"/>
        <w:color w:val="000000"/>
        <w:sz w:val="20"/>
        <w:szCs w:val="20"/>
        <w:lang w:eastAsia="ru-RU"/>
      </w:rPr>
      <w:t>До реєстр. № 6155 від 08.10.2021</w:t>
    </w:r>
  </w:p>
  <w:p w:rsidR="00780AF2" w:rsidRPr="00780AF2" w:rsidRDefault="00780AF2" w:rsidP="00780AF2">
    <w:pPr>
      <w:tabs>
        <w:tab w:val="center" w:pos="4819"/>
        <w:tab w:val="right" w:pos="9639"/>
      </w:tabs>
      <w:spacing w:after="0" w:line="240" w:lineRule="auto"/>
      <w:ind w:right="-144"/>
      <w:jc w:val="right"/>
      <w:rPr>
        <w:rFonts w:ascii="Times New Roman" w:eastAsia="Times New Roman" w:hAnsi="Times New Roman"/>
        <w:sz w:val="20"/>
        <w:szCs w:val="20"/>
        <w:lang w:eastAsia="ru-RU"/>
      </w:rPr>
    </w:pPr>
    <w:r w:rsidRPr="00780AF2"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780AF2" w:rsidRDefault="00780AF2" w:rsidP="00780AF2">
    <w:pPr>
      <w:tabs>
        <w:tab w:val="center" w:pos="4819"/>
        <w:tab w:val="right" w:pos="9639"/>
      </w:tabs>
      <w:spacing w:after="0" w:line="240" w:lineRule="auto"/>
      <w:ind w:right="-144"/>
      <w:jc w:val="right"/>
    </w:pPr>
    <w:r w:rsidRPr="00780AF2">
      <w:rPr>
        <w:rFonts w:ascii="Times New Roman" w:eastAsia="Times New Roman" w:hAnsi="Times New Roman"/>
        <w:sz w:val="20"/>
        <w:szCs w:val="20"/>
        <w:lang w:eastAsia="ru-RU"/>
      </w:rPr>
      <w:t xml:space="preserve">Д. </w:t>
    </w:r>
    <w:proofErr w:type="spellStart"/>
    <w:r w:rsidRPr="00780AF2">
      <w:rPr>
        <w:rFonts w:ascii="Times New Roman" w:eastAsia="Times New Roman" w:hAnsi="Times New Roman"/>
        <w:sz w:val="20"/>
        <w:szCs w:val="20"/>
        <w:lang w:eastAsia="ru-RU"/>
      </w:rPr>
      <w:t>Соломчук</w:t>
    </w:r>
    <w:proofErr w:type="spellEnd"/>
    <w:r w:rsidRPr="00780AF2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F2"/>
    <w:rsid w:val="000476F4"/>
    <w:rsid w:val="00124817"/>
    <w:rsid w:val="001661E8"/>
    <w:rsid w:val="001868C8"/>
    <w:rsid w:val="001E0A84"/>
    <w:rsid w:val="00274870"/>
    <w:rsid w:val="0050004D"/>
    <w:rsid w:val="005348DD"/>
    <w:rsid w:val="005E3C96"/>
    <w:rsid w:val="00620E09"/>
    <w:rsid w:val="006D5308"/>
    <w:rsid w:val="006F0AC1"/>
    <w:rsid w:val="00780AF2"/>
    <w:rsid w:val="00806412"/>
    <w:rsid w:val="009B3E15"/>
    <w:rsid w:val="00D33EAE"/>
    <w:rsid w:val="00D9021E"/>
    <w:rsid w:val="00DF5922"/>
    <w:rsid w:val="00EC5C98"/>
    <w:rsid w:val="00FD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EECDB4"/>
  <w15:chartTrackingRefBased/>
  <w15:docId w15:val="{6ABB37F1-B32F-4357-8614-AE2E7F062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80AF2"/>
    <w:rPr>
      <w:color w:val="0000FF"/>
      <w:u w:val="single"/>
    </w:rPr>
  </w:style>
  <w:style w:type="paragraph" w:styleId="a4">
    <w:name w:val="footnote text"/>
    <w:basedOn w:val="a"/>
    <w:link w:val="a5"/>
    <w:rsid w:val="00780AF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виноски Знак"/>
    <w:link w:val="a4"/>
    <w:rsid w:val="00780AF2"/>
    <w:rPr>
      <w:rFonts w:ascii="Times New Roman" w:eastAsia="Times New Roman" w:hAnsi="Times New Roman"/>
      <w:lang w:eastAsia="ru-RU"/>
    </w:rPr>
  </w:style>
  <w:style w:type="character" w:styleId="a6">
    <w:name w:val="footnote reference"/>
    <w:rsid w:val="00780AF2"/>
    <w:rPr>
      <w:rFonts w:cs="Times New Roman"/>
      <w:vertAlign w:val="superscript"/>
    </w:rPr>
  </w:style>
  <w:style w:type="paragraph" w:styleId="a7">
    <w:name w:val="header"/>
    <w:basedOn w:val="a"/>
    <w:link w:val="a8"/>
    <w:uiPriority w:val="99"/>
    <w:unhideWhenUsed/>
    <w:rsid w:val="00780AF2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rsid w:val="00780AF2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780AF2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rsid w:val="00780AF2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6F0A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6F0AC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zakon.rada.gov.ua/rada/show/994_017" TargetMode="External"/><Relationship Id="rId1" Type="http://schemas.openxmlformats.org/officeDocument/2006/relationships/hyperlink" Target="https://eur-lex.europa.eu/legal-content/EN/TXT/?uri=CELEX%3A32019L0633&amp;qid=163793385421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9207</Words>
  <Characters>5249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14428</CharactersWithSpaces>
  <SharedDoc>false</SharedDoc>
  <HLinks>
    <vt:vector size="12" baseType="variant">
      <vt:variant>
        <vt:i4>1835109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https://zakon.rada.gov.ua/rada/show/994_017</vt:lpwstr>
      </vt:variant>
      <vt:variant>
        <vt:lpwstr>o163</vt:lpwstr>
      </vt:variant>
      <vt:variant>
        <vt:i4>5898245</vt:i4>
      </vt:variant>
      <vt:variant>
        <vt:i4>0</vt:i4>
      </vt:variant>
      <vt:variant>
        <vt:i4>0</vt:i4>
      </vt:variant>
      <vt:variant>
        <vt:i4>5</vt:i4>
      </vt:variant>
      <vt:variant>
        <vt:lpwstr>https://eur-lex.europa.eu/legal-content/EN/TXT/?uri=CELEX%3A32019L0633&amp;qid=1637933854210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Едуард Васильович Вальковський</dc:creator>
  <cp:keywords/>
  <dc:description/>
  <cp:lastModifiedBy>Кисельова Юлія Анатоліївна</cp:lastModifiedBy>
  <cp:revision>5</cp:revision>
  <cp:lastPrinted>2021-11-30T13:59:00Z</cp:lastPrinted>
  <dcterms:created xsi:type="dcterms:W3CDTF">2021-11-30T13:59:00Z</dcterms:created>
  <dcterms:modified xsi:type="dcterms:W3CDTF">2021-11-30T14:02:00Z</dcterms:modified>
</cp:coreProperties>
</file>